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2FCB0C">
      <w:pPr>
        <w:widowControl/>
        <w:jc w:val="center"/>
        <w:rPr>
          <w:rFonts w:ascii="仿宋" w:hAnsi="仿宋" w:eastAsia="仿宋" w:cs="宋体"/>
          <w:color w:val="000000"/>
          <w:kern w:val="0"/>
          <w:sz w:val="27"/>
          <w:szCs w:val="27"/>
        </w:rPr>
      </w:pPr>
    </w:p>
    <w:p w14:paraId="483C5F4C">
      <w:pPr>
        <w:widowControl/>
        <w:jc w:val="center"/>
        <w:rPr>
          <w:rFonts w:ascii="仿宋" w:hAnsi="仿宋" w:eastAsia="仿宋" w:cs="宋体"/>
          <w:color w:val="000000"/>
          <w:kern w:val="0"/>
          <w:sz w:val="27"/>
          <w:szCs w:val="27"/>
        </w:rPr>
      </w:pPr>
    </w:p>
    <w:p w14:paraId="55CBC4BC">
      <w:pPr>
        <w:widowControl/>
        <w:jc w:val="center"/>
        <w:rPr>
          <w:rFonts w:ascii="仿宋" w:hAnsi="仿宋" w:eastAsia="仿宋" w:cs="宋体"/>
          <w:color w:val="000000"/>
          <w:kern w:val="0"/>
          <w:sz w:val="27"/>
          <w:szCs w:val="27"/>
        </w:rPr>
      </w:pPr>
    </w:p>
    <w:p w14:paraId="7029A75E">
      <w:pPr>
        <w:widowControl/>
        <w:jc w:val="center"/>
        <w:rPr>
          <w:rFonts w:ascii="仿宋" w:hAnsi="仿宋" w:eastAsia="仿宋" w:cs="宋体"/>
          <w:color w:val="000000"/>
          <w:kern w:val="0"/>
          <w:sz w:val="27"/>
          <w:szCs w:val="27"/>
        </w:rPr>
      </w:pPr>
    </w:p>
    <w:p w14:paraId="2105375A">
      <w:pPr>
        <w:widowControl/>
        <w:jc w:val="center"/>
        <w:rPr>
          <w:rFonts w:ascii="仿宋" w:hAnsi="仿宋" w:eastAsia="仿宋" w:cs="宋体"/>
          <w:color w:val="000000"/>
          <w:kern w:val="0"/>
          <w:sz w:val="27"/>
          <w:szCs w:val="27"/>
        </w:rPr>
      </w:pPr>
    </w:p>
    <w:p w14:paraId="7A7EAFC5">
      <w:pPr>
        <w:widowControl/>
        <w:spacing w:line="360" w:lineRule="auto"/>
        <w:jc w:val="center"/>
        <w:rPr>
          <w:rFonts w:ascii="仿宋" w:hAnsi="仿宋" w:eastAsia="仿宋" w:cs="宋体"/>
          <w:b/>
          <w:color w:val="000000"/>
          <w:kern w:val="0"/>
          <w:sz w:val="48"/>
          <w:szCs w:val="24"/>
        </w:rPr>
      </w:pPr>
      <w:r>
        <w:rPr>
          <w:rFonts w:ascii="仿宋" w:hAnsi="仿宋" w:eastAsia="仿宋" w:cs="宋体"/>
          <w:b/>
          <w:color w:val="000000"/>
          <w:kern w:val="0"/>
          <w:sz w:val="48"/>
          <w:szCs w:val="27"/>
        </w:rPr>
        <w:t>政府采购项目</w:t>
      </w:r>
    </w:p>
    <w:p w14:paraId="6490D883">
      <w:pPr>
        <w:widowControl/>
        <w:spacing w:line="360" w:lineRule="auto"/>
        <w:jc w:val="center"/>
        <w:rPr>
          <w:rFonts w:ascii="仿宋" w:hAnsi="仿宋" w:eastAsia="仿宋" w:cs="宋体"/>
          <w:b/>
          <w:color w:val="000000"/>
          <w:kern w:val="0"/>
          <w:sz w:val="48"/>
          <w:szCs w:val="24"/>
        </w:rPr>
      </w:pPr>
      <w:r>
        <w:rPr>
          <w:rFonts w:ascii="仿宋" w:hAnsi="仿宋" w:eastAsia="仿宋" w:cs="宋体"/>
          <w:b/>
          <w:color w:val="000000"/>
          <w:kern w:val="0"/>
          <w:sz w:val="48"/>
          <w:szCs w:val="27"/>
        </w:rPr>
        <w:t>采 购 需 求</w:t>
      </w:r>
      <w:bookmarkStart w:id="37" w:name="_GoBack"/>
      <w:bookmarkEnd w:id="37"/>
    </w:p>
    <w:p w14:paraId="4CB64B6B">
      <w:pPr>
        <w:widowControl/>
        <w:jc w:val="center"/>
        <w:rPr>
          <w:rFonts w:ascii="仿宋" w:hAnsi="仿宋" w:eastAsia="仿宋" w:cs="宋体"/>
          <w:color w:val="000000"/>
          <w:kern w:val="0"/>
          <w:sz w:val="27"/>
          <w:szCs w:val="27"/>
        </w:rPr>
      </w:pPr>
    </w:p>
    <w:p w14:paraId="19D37CEA">
      <w:pPr>
        <w:widowControl/>
        <w:jc w:val="center"/>
        <w:rPr>
          <w:rFonts w:ascii="仿宋" w:hAnsi="仿宋" w:eastAsia="仿宋" w:cs="宋体"/>
          <w:color w:val="000000"/>
          <w:kern w:val="0"/>
          <w:sz w:val="27"/>
          <w:szCs w:val="27"/>
        </w:rPr>
      </w:pPr>
    </w:p>
    <w:p w14:paraId="12E29FB2">
      <w:pPr>
        <w:widowControl/>
        <w:jc w:val="center"/>
        <w:rPr>
          <w:rFonts w:ascii="仿宋" w:hAnsi="仿宋" w:eastAsia="仿宋" w:cs="宋体"/>
          <w:color w:val="000000"/>
          <w:kern w:val="0"/>
          <w:sz w:val="27"/>
          <w:szCs w:val="27"/>
        </w:rPr>
      </w:pPr>
    </w:p>
    <w:p w14:paraId="6615193D">
      <w:pPr>
        <w:widowControl/>
        <w:jc w:val="center"/>
        <w:rPr>
          <w:rFonts w:ascii="仿宋" w:hAnsi="仿宋" w:eastAsia="仿宋" w:cs="宋体"/>
          <w:color w:val="000000"/>
          <w:kern w:val="0"/>
          <w:sz w:val="27"/>
          <w:szCs w:val="27"/>
        </w:rPr>
      </w:pPr>
    </w:p>
    <w:p w14:paraId="1D7A5AC5">
      <w:pPr>
        <w:widowControl/>
        <w:jc w:val="center"/>
        <w:rPr>
          <w:rFonts w:ascii="仿宋" w:hAnsi="仿宋" w:eastAsia="仿宋" w:cs="宋体"/>
          <w:color w:val="000000"/>
          <w:kern w:val="0"/>
          <w:sz w:val="27"/>
          <w:szCs w:val="27"/>
        </w:rPr>
      </w:pPr>
    </w:p>
    <w:p w14:paraId="59DE571F">
      <w:pPr>
        <w:widowControl/>
        <w:jc w:val="center"/>
        <w:rPr>
          <w:rFonts w:ascii="仿宋" w:hAnsi="仿宋" w:eastAsia="仿宋" w:cs="宋体"/>
          <w:color w:val="000000"/>
          <w:kern w:val="0"/>
          <w:sz w:val="27"/>
          <w:szCs w:val="27"/>
        </w:rPr>
      </w:pPr>
    </w:p>
    <w:p w14:paraId="674DB7CD">
      <w:pPr>
        <w:widowControl/>
        <w:jc w:val="center"/>
        <w:rPr>
          <w:rFonts w:ascii="仿宋" w:hAnsi="仿宋" w:eastAsia="仿宋" w:cs="宋体"/>
          <w:color w:val="000000"/>
          <w:kern w:val="0"/>
          <w:sz w:val="27"/>
          <w:szCs w:val="27"/>
        </w:rPr>
      </w:pPr>
    </w:p>
    <w:p w14:paraId="183987C4">
      <w:pPr>
        <w:widowControl/>
        <w:ind w:left="1558" w:leftChars="742"/>
        <w:jc w:val="left"/>
        <w:rPr>
          <w:rFonts w:ascii="仿宋" w:hAnsi="仿宋" w:eastAsia="仿宋" w:cs="宋体"/>
          <w:color w:val="000000"/>
          <w:kern w:val="0"/>
          <w:sz w:val="27"/>
          <w:szCs w:val="27"/>
        </w:rPr>
      </w:pPr>
      <w:r>
        <w:rPr>
          <w:rFonts w:ascii="仿宋" w:hAnsi="仿宋" w:eastAsia="仿宋" w:cs="宋体"/>
          <w:color w:val="000000"/>
          <w:kern w:val="0"/>
          <w:sz w:val="27"/>
          <w:szCs w:val="27"/>
        </w:rPr>
        <w:t>项目名称：</w:t>
      </w:r>
      <w:r>
        <w:rPr>
          <w:rFonts w:hint="eastAsia" w:ascii="宋体" w:hAnsi="宋体" w:eastAsia="宋体" w:cs="宋体"/>
          <w:color w:val="000000"/>
          <w:kern w:val="0"/>
          <w:sz w:val="27"/>
          <w:szCs w:val="27"/>
          <w:u w:val="single"/>
        </w:rPr>
        <w:t xml:space="preserve"> </w:t>
      </w:r>
      <w:r>
        <w:rPr>
          <w:rFonts w:hint="eastAsia" w:ascii="宋体" w:hAnsi="宋体" w:eastAsia="宋体" w:cs="宋体"/>
          <w:sz w:val="27"/>
          <w:szCs w:val="27"/>
          <w:highlight w:val="none"/>
          <w:u w:val="single"/>
        </w:rPr>
        <w:t>2026年塘厦镇鼎湖科技园周边道路安装交通信号灯、电子监控抓拍设备建设项目</w:t>
      </w:r>
      <w:r>
        <w:rPr>
          <w:rFonts w:hint="eastAsia" w:ascii="宋体" w:hAnsi="宋体" w:eastAsia="宋体" w:cs="宋体"/>
          <w:color w:val="000000"/>
          <w:kern w:val="0"/>
          <w:sz w:val="27"/>
          <w:szCs w:val="27"/>
          <w:u w:val="single"/>
        </w:rPr>
        <w:t xml:space="preserve"> </w:t>
      </w:r>
    </w:p>
    <w:p w14:paraId="390266FD">
      <w:pPr>
        <w:widowControl/>
        <w:ind w:left="1558" w:leftChars="742"/>
        <w:jc w:val="left"/>
        <w:rPr>
          <w:rFonts w:ascii="仿宋" w:hAnsi="仿宋" w:eastAsia="仿宋" w:cs="宋体"/>
          <w:color w:val="000000"/>
          <w:kern w:val="0"/>
          <w:sz w:val="27"/>
          <w:szCs w:val="27"/>
        </w:rPr>
      </w:pPr>
      <w:r>
        <w:rPr>
          <w:rFonts w:ascii="仿宋" w:hAnsi="仿宋" w:eastAsia="仿宋" w:cs="宋体"/>
          <w:color w:val="000000"/>
          <w:kern w:val="0"/>
          <w:sz w:val="27"/>
          <w:szCs w:val="27"/>
        </w:rPr>
        <w:t>采购单位：</w:t>
      </w:r>
      <w:r>
        <w:rPr>
          <w:rFonts w:hint="eastAsia" w:ascii="宋体" w:hAnsi="宋体" w:eastAsia="宋体" w:cs="宋体"/>
          <w:color w:val="000000"/>
          <w:kern w:val="0"/>
          <w:sz w:val="27"/>
          <w:szCs w:val="27"/>
          <w:u w:val="single"/>
        </w:rPr>
        <w:t xml:space="preserve"> </w:t>
      </w:r>
      <w:r>
        <w:rPr>
          <w:rFonts w:hint="eastAsia" w:ascii="宋体" w:hAnsi="宋体" w:eastAsia="宋体" w:cs="宋体"/>
          <w:color w:val="000000"/>
          <w:kern w:val="0"/>
          <w:sz w:val="27"/>
          <w:szCs w:val="27"/>
          <w:u w:val="single"/>
          <w:lang w:eastAsia="zh-CN"/>
        </w:rPr>
        <w:t>东莞市公安局交通管理支队塘厦大队</w:t>
      </w:r>
      <w:r>
        <w:rPr>
          <w:rFonts w:hint="eastAsia" w:ascii="宋体" w:hAnsi="宋体" w:eastAsia="宋体" w:cs="宋体"/>
          <w:color w:val="000000"/>
          <w:kern w:val="0"/>
          <w:sz w:val="27"/>
          <w:szCs w:val="27"/>
          <w:u w:val="single"/>
        </w:rPr>
        <w:t xml:space="preserve"> </w:t>
      </w:r>
    </w:p>
    <w:p w14:paraId="20B7F830">
      <w:pPr>
        <w:widowControl/>
        <w:ind w:left="1558" w:leftChars="742"/>
        <w:jc w:val="left"/>
        <w:rPr>
          <w:rFonts w:ascii="仿宋" w:hAnsi="仿宋" w:eastAsia="仿宋" w:cs="宋体"/>
          <w:color w:val="000000"/>
          <w:kern w:val="0"/>
          <w:sz w:val="27"/>
          <w:szCs w:val="27"/>
        </w:rPr>
      </w:pPr>
      <w:r>
        <w:rPr>
          <w:rFonts w:ascii="仿宋" w:hAnsi="仿宋" w:eastAsia="仿宋" w:cs="宋体"/>
          <w:color w:val="000000"/>
          <w:kern w:val="0"/>
          <w:sz w:val="27"/>
          <w:szCs w:val="27"/>
        </w:rPr>
        <w:t>编制单位：</w:t>
      </w:r>
      <w:r>
        <w:rPr>
          <w:rFonts w:hint="eastAsia" w:ascii="宋体" w:hAnsi="宋体" w:eastAsia="宋体" w:cs="宋体"/>
          <w:color w:val="000000"/>
          <w:kern w:val="0"/>
          <w:sz w:val="27"/>
          <w:szCs w:val="27"/>
          <w:u w:val="single"/>
        </w:rPr>
        <w:t xml:space="preserve"> </w:t>
      </w:r>
      <w:r>
        <w:rPr>
          <w:rFonts w:hint="eastAsia" w:ascii="宋体" w:hAnsi="宋体" w:eastAsia="宋体" w:cs="宋体"/>
          <w:color w:val="000000"/>
          <w:kern w:val="0"/>
          <w:sz w:val="27"/>
          <w:szCs w:val="27"/>
          <w:u w:val="single"/>
          <w:lang w:eastAsia="zh-CN"/>
        </w:rPr>
        <w:t>东莞市公安局交通管理支队塘厦大队</w:t>
      </w:r>
      <w:r>
        <w:rPr>
          <w:rFonts w:hint="eastAsia" w:ascii="宋体" w:hAnsi="宋体" w:eastAsia="宋体" w:cs="宋体"/>
          <w:color w:val="000000"/>
          <w:kern w:val="0"/>
          <w:sz w:val="27"/>
          <w:szCs w:val="27"/>
          <w:u w:val="single"/>
        </w:rPr>
        <w:t xml:space="preserve"> </w:t>
      </w:r>
    </w:p>
    <w:p w14:paraId="2141D32B">
      <w:pPr>
        <w:widowControl/>
        <w:ind w:left="1558" w:leftChars="742"/>
        <w:jc w:val="left"/>
        <w:rPr>
          <w:rFonts w:ascii="仿宋" w:hAnsi="仿宋" w:eastAsia="仿宋" w:cs="宋体"/>
          <w:color w:val="000000"/>
          <w:kern w:val="0"/>
          <w:sz w:val="27"/>
          <w:szCs w:val="27"/>
        </w:rPr>
      </w:pPr>
      <w:r>
        <w:rPr>
          <w:rFonts w:ascii="仿宋" w:hAnsi="仿宋" w:eastAsia="仿宋" w:cs="宋体"/>
          <w:color w:val="000000"/>
          <w:kern w:val="0"/>
          <w:sz w:val="27"/>
          <w:szCs w:val="27"/>
        </w:rPr>
        <w:t>编制时间：</w:t>
      </w:r>
      <w:r>
        <w:rPr>
          <w:rFonts w:hint="eastAsia" w:ascii="宋体" w:hAnsi="宋体" w:eastAsia="宋体" w:cs="宋体"/>
          <w:color w:val="000000"/>
          <w:kern w:val="0"/>
          <w:sz w:val="27"/>
          <w:szCs w:val="27"/>
          <w:u w:val="single"/>
        </w:rPr>
        <w:t xml:space="preserve"> </w:t>
      </w:r>
      <w:r>
        <w:rPr>
          <w:rFonts w:hint="eastAsia" w:ascii="宋体" w:hAnsi="宋体" w:eastAsia="宋体" w:cs="宋体"/>
          <w:color w:val="000000"/>
          <w:kern w:val="0"/>
          <w:sz w:val="27"/>
          <w:szCs w:val="27"/>
          <w:u w:val="single"/>
          <w:lang w:val="en-US" w:eastAsia="zh-CN"/>
        </w:rPr>
        <w:t>2026</w:t>
      </w:r>
      <w:r>
        <w:rPr>
          <w:rFonts w:hint="eastAsia" w:ascii="宋体" w:hAnsi="宋体" w:eastAsia="宋体" w:cs="宋体"/>
          <w:color w:val="000000"/>
          <w:kern w:val="0"/>
          <w:sz w:val="27"/>
          <w:szCs w:val="27"/>
          <w:u w:val="single"/>
        </w:rPr>
        <w:t>年</w:t>
      </w:r>
      <w:r>
        <w:rPr>
          <w:rFonts w:hint="eastAsia" w:ascii="宋体" w:hAnsi="宋体" w:eastAsia="宋体" w:cs="宋体"/>
          <w:color w:val="000000"/>
          <w:kern w:val="0"/>
          <w:sz w:val="27"/>
          <w:szCs w:val="27"/>
          <w:u w:val="single"/>
          <w:lang w:val="en-US" w:eastAsia="zh-CN"/>
        </w:rPr>
        <w:t>1</w:t>
      </w:r>
      <w:r>
        <w:rPr>
          <w:rFonts w:hint="eastAsia" w:ascii="宋体" w:hAnsi="宋体" w:eastAsia="宋体" w:cs="宋体"/>
          <w:color w:val="000000"/>
          <w:kern w:val="0"/>
          <w:sz w:val="27"/>
          <w:szCs w:val="27"/>
          <w:u w:val="single"/>
        </w:rPr>
        <w:t xml:space="preserve">月 </w:t>
      </w:r>
    </w:p>
    <w:p w14:paraId="4366EFDD">
      <w:pPr>
        <w:widowControl/>
        <w:jc w:val="left"/>
        <w:rPr>
          <w:rFonts w:ascii="仿宋" w:hAnsi="仿宋" w:eastAsia="仿宋" w:cs="宋体"/>
          <w:color w:val="000000"/>
          <w:kern w:val="0"/>
          <w:sz w:val="27"/>
          <w:szCs w:val="27"/>
          <w:shd w:val="clear" w:color="auto" w:fill="FFFFFF"/>
        </w:rPr>
      </w:pPr>
    </w:p>
    <w:p w14:paraId="7890DC49">
      <w:pPr>
        <w:widowControl/>
        <w:jc w:val="left"/>
        <w:rPr>
          <w:rFonts w:ascii="仿宋" w:hAnsi="仿宋" w:eastAsia="仿宋" w:cs="宋体"/>
          <w:kern w:val="0"/>
          <w:sz w:val="24"/>
          <w:szCs w:val="24"/>
        </w:rPr>
      </w:pPr>
    </w:p>
    <w:p w14:paraId="168459D4">
      <w:pPr>
        <w:widowControl/>
        <w:jc w:val="left"/>
        <w:rPr>
          <w:rFonts w:ascii="仿宋" w:hAnsi="仿宋" w:eastAsia="仿宋" w:cs="宋体"/>
          <w:kern w:val="0"/>
          <w:sz w:val="24"/>
          <w:szCs w:val="24"/>
        </w:rPr>
      </w:pPr>
      <w:r>
        <w:rPr>
          <w:rFonts w:ascii="仿宋" w:hAnsi="仿宋" w:eastAsia="仿宋" w:cs="宋体"/>
          <w:kern w:val="0"/>
          <w:sz w:val="24"/>
          <w:szCs w:val="24"/>
        </w:rPr>
        <w:br w:type="page"/>
      </w:r>
    </w:p>
    <w:p w14:paraId="29E28C37">
      <w:pPr>
        <w:widowControl/>
        <w:jc w:val="center"/>
        <w:rPr>
          <w:rFonts w:cs="宋体" w:asciiTheme="minorEastAsia" w:hAnsiTheme="minorEastAsia"/>
          <w:b/>
          <w:color w:val="000000"/>
          <w:kern w:val="0"/>
          <w:sz w:val="24"/>
          <w:szCs w:val="24"/>
        </w:rPr>
      </w:pPr>
      <w:r>
        <w:rPr>
          <w:rFonts w:cs="宋体" w:asciiTheme="minorEastAsia" w:hAnsiTheme="minorEastAsia"/>
          <w:b/>
          <w:color w:val="000000"/>
          <w:kern w:val="0"/>
          <w:sz w:val="24"/>
          <w:szCs w:val="24"/>
        </w:rPr>
        <w:t>编 制 说 明</w:t>
      </w:r>
    </w:p>
    <w:p w14:paraId="2AD3AE4F">
      <w:pPr>
        <w:widowControl/>
        <w:jc w:val="left"/>
        <w:rPr>
          <w:rFonts w:cs="宋体" w:asciiTheme="minorEastAsia" w:hAnsiTheme="minorEastAsia"/>
          <w:color w:val="000000"/>
          <w:kern w:val="0"/>
          <w:sz w:val="24"/>
          <w:szCs w:val="24"/>
        </w:rPr>
      </w:pPr>
    </w:p>
    <w:p w14:paraId="211B5563">
      <w:pPr>
        <w:widowControl/>
        <w:spacing w:line="360" w:lineRule="auto"/>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一、采购单位可以自行组织编制采购需求，也可以委托采购代理机构或者其他第三方机构编制。</w:t>
      </w:r>
    </w:p>
    <w:p w14:paraId="3E2166CE">
      <w:pPr>
        <w:widowControl/>
        <w:spacing w:line="360" w:lineRule="auto"/>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二、编制的采购需求应当符合《财政部关于印发政府采购需求管理办法的通知》（财库〔2021〕22号）要求及政府采购的相关规定。</w:t>
      </w:r>
    </w:p>
    <w:p w14:paraId="05731150">
      <w:pPr>
        <w:widowControl/>
        <w:spacing w:line="360" w:lineRule="auto"/>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三、斜体字部分属于提醒内容，编制时应删除。</w:t>
      </w:r>
    </w:p>
    <w:p w14:paraId="33B74475">
      <w:pPr>
        <w:widowControl/>
        <w:spacing w:line="360" w:lineRule="auto"/>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四、对不适用的内容应删除，并调整相应序号。</w:t>
      </w:r>
    </w:p>
    <w:p w14:paraId="0119DC7D">
      <w:pPr>
        <w:widowControl/>
        <w:jc w:val="left"/>
        <w:rPr>
          <w:rFonts w:cs="宋体" w:asciiTheme="minorEastAsia" w:hAnsiTheme="minorEastAsia"/>
          <w:color w:val="000000"/>
          <w:kern w:val="0"/>
          <w:sz w:val="24"/>
          <w:szCs w:val="24"/>
        </w:rPr>
      </w:pPr>
    </w:p>
    <w:p w14:paraId="5CD00659">
      <w:pPr>
        <w:widowControl/>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br w:type="page"/>
      </w:r>
    </w:p>
    <w:p w14:paraId="7C07C039">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cs="宋体" w:asciiTheme="minorEastAsia" w:hAnsiTheme="minorEastAsia"/>
          <w:b/>
          <w:color w:val="000000"/>
          <w:kern w:val="0"/>
          <w:sz w:val="24"/>
          <w:szCs w:val="24"/>
        </w:rPr>
      </w:pPr>
      <w:r>
        <w:rPr>
          <w:rFonts w:cs="宋体" w:asciiTheme="minorEastAsia" w:hAnsiTheme="minorEastAsia"/>
          <w:b/>
          <w:color w:val="000000"/>
          <w:kern w:val="0"/>
          <w:sz w:val="24"/>
          <w:szCs w:val="24"/>
        </w:rPr>
        <w:t>一、需求调查情况</w:t>
      </w:r>
      <w:r>
        <w:rPr>
          <w:rFonts w:hint="eastAsia" w:cs="宋体" w:asciiTheme="minorEastAsia" w:hAnsiTheme="minorEastAsia"/>
          <w:b/>
          <w:color w:val="auto"/>
          <w:kern w:val="0"/>
          <w:sz w:val="24"/>
          <w:szCs w:val="24"/>
          <w:highlight w:val="none"/>
          <w:lang w:eastAsia="zh-CN"/>
        </w:rPr>
        <w:t>（</w:t>
      </w:r>
      <w:r>
        <w:rPr>
          <w:rFonts w:hint="eastAsia" w:cs="宋体" w:asciiTheme="minorEastAsia" w:hAnsiTheme="minorEastAsia"/>
          <w:b w:val="0"/>
          <w:bCs/>
          <w:i w:val="0"/>
          <w:iCs w:val="0"/>
          <w:color w:val="auto"/>
          <w:kern w:val="0"/>
          <w:sz w:val="24"/>
          <w:szCs w:val="24"/>
          <w:highlight w:val="none"/>
          <w:u w:val="none"/>
          <w:lang w:eastAsia="zh-CN"/>
        </w:rPr>
        <w:t>本项目不属于</w:t>
      </w:r>
      <w:r>
        <w:rPr>
          <w:rFonts w:cs="宋体" w:asciiTheme="minorEastAsia" w:hAnsiTheme="minorEastAsia"/>
          <w:b w:val="0"/>
          <w:bCs/>
          <w:i w:val="0"/>
          <w:iCs w:val="0"/>
          <w:color w:val="auto"/>
          <w:kern w:val="0"/>
          <w:sz w:val="24"/>
          <w:szCs w:val="24"/>
          <w:highlight w:val="none"/>
          <w:u w:val="none"/>
        </w:rPr>
        <w:t>《政府采购需求管理办法》第十一条规定情形</w:t>
      </w:r>
      <w:r>
        <w:rPr>
          <w:rFonts w:hint="eastAsia" w:cs="宋体" w:asciiTheme="minorEastAsia" w:hAnsiTheme="minorEastAsia"/>
          <w:b w:val="0"/>
          <w:bCs/>
          <w:i w:val="0"/>
          <w:iCs w:val="0"/>
          <w:color w:val="auto"/>
          <w:kern w:val="0"/>
          <w:sz w:val="24"/>
          <w:szCs w:val="24"/>
          <w:highlight w:val="none"/>
          <w:u w:val="none"/>
          <w:lang w:eastAsia="zh-CN"/>
        </w:rPr>
        <w:t>，不开展需求调查</w:t>
      </w:r>
      <w:r>
        <w:rPr>
          <w:rFonts w:hint="eastAsia" w:cs="宋体" w:asciiTheme="minorEastAsia" w:hAnsiTheme="minorEastAsia"/>
          <w:b/>
          <w:color w:val="auto"/>
          <w:kern w:val="0"/>
          <w:sz w:val="24"/>
          <w:szCs w:val="24"/>
          <w:highlight w:val="none"/>
          <w:lang w:eastAsia="zh-CN"/>
        </w:rPr>
        <w:t>）</w:t>
      </w:r>
    </w:p>
    <w:p w14:paraId="56731231">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cs="宋体" w:asciiTheme="minorEastAsia" w:hAnsiTheme="minorEastAsia"/>
          <w:b/>
          <w:color w:val="000000"/>
          <w:kern w:val="0"/>
          <w:sz w:val="24"/>
          <w:szCs w:val="24"/>
        </w:rPr>
      </w:pPr>
      <w:r>
        <w:rPr>
          <w:rFonts w:cs="宋体" w:asciiTheme="minorEastAsia" w:hAnsiTheme="minorEastAsia"/>
          <w:b/>
          <w:color w:val="000000"/>
          <w:kern w:val="0"/>
          <w:sz w:val="24"/>
          <w:szCs w:val="24"/>
        </w:rPr>
        <w:t>二、需求清单</w:t>
      </w:r>
    </w:p>
    <w:p w14:paraId="3248B784">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cs="宋体" w:asciiTheme="minorEastAsia" w:hAnsiTheme="minorEastAsia"/>
          <w:b/>
          <w:color w:val="000000"/>
          <w:kern w:val="0"/>
          <w:sz w:val="24"/>
          <w:szCs w:val="24"/>
        </w:rPr>
      </w:pPr>
      <w:r>
        <w:rPr>
          <w:rFonts w:cs="宋体" w:asciiTheme="minorEastAsia" w:hAnsiTheme="minorEastAsia"/>
          <w:b/>
          <w:color w:val="000000"/>
          <w:kern w:val="0"/>
          <w:sz w:val="24"/>
          <w:szCs w:val="24"/>
        </w:rPr>
        <w:t>（一）项目概况</w:t>
      </w:r>
    </w:p>
    <w:p w14:paraId="429EB8F4">
      <w:pPr>
        <w:widowControl/>
        <w:spacing w:line="360" w:lineRule="auto"/>
        <w:ind w:firstLine="480" w:firstLineChars="200"/>
        <w:jc w:val="left"/>
        <w:rPr>
          <w:rFonts w:cs="宋体" w:asciiTheme="minorEastAsia" w:hAnsiTheme="minorEastAsia"/>
          <w:color w:val="000000"/>
          <w:kern w:val="0"/>
          <w:sz w:val="24"/>
          <w:szCs w:val="24"/>
          <w:u w:val="single"/>
        </w:rPr>
      </w:pPr>
      <w:r>
        <w:rPr>
          <w:rFonts w:hint="eastAsia" w:cs="宋体" w:asciiTheme="minorEastAsia" w:hAnsiTheme="minorEastAsia"/>
          <w:color w:val="000000"/>
          <w:kern w:val="0"/>
          <w:sz w:val="24"/>
          <w:szCs w:val="24"/>
          <w:u w:val="single"/>
          <w:lang w:eastAsia="zh-CN"/>
        </w:rPr>
        <w:t>东莞市公安局交通管理支队塘厦大队实施2026年塘厦镇鼎湖科技园周边道路安装交通信号灯、电子监控抓拍设备建设项目，为推动塘厦镇交通管理向信息化、智能化转变，保障交通运行安全，有效改善驾驶人的驾驶习惯，改善交通秩序，促进文明交通，提高交通通行能力，切实为民众出行保驾护航。</w:t>
      </w:r>
      <w:r>
        <w:rPr>
          <w:rFonts w:hint="eastAsia" w:cs="宋体" w:asciiTheme="minorEastAsia" w:hAnsiTheme="minorEastAsia"/>
          <w:color w:val="000000"/>
          <w:kern w:val="0"/>
          <w:sz w:val="24"/>
          <w:szCs w:val="24"/>
          <w:u w:val="single"/>
        </w:rPr>
        <w:t xml:space="preserve"> </w:t>
      </w:r>
    </w:p>
    <w:p w14:paraId="6AFB351B">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cs="宋体" w:asciiTheme="minorEastAsia" w:hAnsiTheme="minorEastAsia"/>
          <w:b/>
          <w:color w:val="000000"/>
          <w:kern w:val="0"/>
          <w:sz w:val="24"/>
          <w:szCs w:val="24"/>
        </w:rPr>
      </w:pPr>
      <w:r>
        <w:rPr>
          <w:rFonts w:cs="宋体" w:asciiTheme="minorEastAsia" w:hAnsiTheme="minorEastAsia"/>
          <w:b/>
          <w:color w:val="000000"/>
          <w:kern w:val="0"/>
          <w:sz w:val="24"/>
          <w:szCs w:val="24"/>
        </w:rPr>
        <w:t>（二）采购项目预（概）算</w:t>
      </w:r>
    </w:p>
    <w:p w14:paraId="39A1D271">
      <w:pPr>
        <w:widowControl/>
        <w:spacing w:line="360" w:lineRule="auto"/>
        <w:ind w:firstLine="480" w:firstLineChars="200"/>
        <w:jc w:val="left"/>
        <w:rPr>
          <w:rFonts w:cs="宋体" w:asciiTheme="minorEastAsia" w:hAnsiTheme="minorEastAsia"/>
          <w:color w:val="000000"/>
          <w:kern w:val="0"/>
          <w:sz w:val="24"/>
          <w:szCs w:val="24"/>
          <w:highlight w:val="none"/>
        </w:rPr>
      </w:pPr>
      <w:r>
        <w:rPr>
          <w:rFonts w:cs="宋体" w:asciiTheme="minorEastAsia" w:hAnsiTheme="minorEastAsia"/>
          <w:color w:val="000000"/>
          <w:kern w:val="0"/>
          <w:sz w:val="24"/>
          <w:szCs w:val="24"/>
          <w:highlight w:val="none"/>
        </w:rPr>
        <w:t>总 预 算：</w:t>
      </w:r>
      <w:r>
        <w:rPr>
          <w:rFonts w:hint="eastAsia" w:cs="宋体" w:asciiTheme="minorEastAsia" w:hAnsiTheme="minorEastAsia"/>
          <w:color w:val="000000"/>
          <w:kern w:val="0"/>
          <w:sz w:val="24"/>
          <w:szCs w:val="24"/>
          <w:highlight w:val="none"/>
          <w:u w:val="single"/>
        </w:rPr>
        <w:t xml:space="preserve"> </w:t>
      </w:r>
      <w:r>
        <w:rPr>
          <w:rFonts w:hint="eastAsia" w:cs="宋体" w:asciiTheme="minorEastAsia" w:hAnsiTheme="minorEastAsia"/>
          <w:color w:val="000000"/>
          <w:kern w:val="0"/>
          <w:sz w:val="24"/>
          <w:szCs w:val="24"/>
          <w:highlight w:val="none"/>
          <w:u w:val="single"/>
          <w:lang w:val="en-US" w:eastAsia="zh-CN"/>
        </w:rPr>
        <w:t>3,652,278.21元</w:t>
      </w:r>
      <w:r>
        <w:rPr>
          <w:rFonts w:hint="eastAsia" w:cs="宋体" w:asciiTheme="minorEastAsia" w:hAnsiTheme="minorEastAsia"/>
          <w:color w:val="000000"/>
          <w:kern w:val="0"/>
          <w:sz w:val="24"/>
          <w:szCs w:val="24"/>
          <w:highlight w:val="none"/>
          <w:u w:val="single"/>
        </w:rPr>
        <w:t xml:space="preserve"> </w:t>
      </w:r>
    </w:p>
    <w:p w14:paraId="6DA8B1F0">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cs="宋体" w:asciiTheme="minorEastAsia" w:hAnsiTheme="minorEastAsia"/>
          <w:b/>
          <w:color w:val="000000"/>
          <w:kern w:val="0"/>
          <w:sz w:val="24"/>
          <w:szCs w:val="24"/>
        </w:rPr>
      </w:pPr>
      <w:r>
        <w:rPr>
          <w:rFonts w:cs="宋体" w:asciiTheme="minorEastAsia" w:hAnsiTheme="minorEastAsia"/>
          <w:b/>
          <w:color w:val="000000"/>
          <w:kern w:val="0"/>
          <w:sz w:val="24"/>
          <w:szCs w:val="24"/>
        </w:rPr>
        <w:t>（三）采购标的汇总表</w:t>
      </w:r>
    </w:p>
    <w:tbl>
      <w:tblPr>
        <w:tblStyle w:val="7"/>
        <w:tblW w:w="8220" w:type="dxa"/>
        <w:jc w:val="center"/>
        <w:tblLayout w:type="autofit"/>
        <w:tblCellMar>
          <w:top w:w="0" w:type="dxa"/>
          <w:left w:w="0" w:type="dxa"/>
          <w:bottom w:w="0" w:type="dxa"/>
          <w:right w:w="0" w:type="dxa"/>
        </w:tblCellMar>
      </w:tblPr>
      <w:tblGrid>
        <w:gridCol w:w="850"/>
        <w:gridCol w:w="850"/>
        <w:gridCol w:w="1842"/>
        <w:gridCol w:w="1417"/>
        <w:gridCol w:w="1276"/>
        <w:gridCol w:w="992"/>
        <w:gridCol w:w="993"/>
      </w:tblGrid>
      <w:tr w14:paraId="59C709C8">
        <w:tblPrEx>
          <w:tblCellMar>
            <w:top w:w="0" w:type="dxa"/>
            <w:left w:w="0" w:type="dxa"/>
            <w:bottom w:w="0" w:type="dxa"/>
            <w:right w:w="0" w:type="dxa"/>
          </w:tblCellMar>
        </w:tblPrEx>
        <w:trPr>
          <w:trHeight w:val="1017" w:hRule="atLeast"/>
          <w:jc w:val="center"/>
        </w:trPr>
        <w:tc>
          <w:tcPr>
            <w:tcW w:w="85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662117F">
            <w:pPr>
              <w:jc w:val="center"/>
              <w:rPr>
                <w:rFonts w:cs="宋体" w:asciiTheme="minorEastAsia" w:hAnsiTheme="minorEastAsia"/>
                <w:b/>
                <w:kern w:val="0"/>
                <w:sz w:val="24"/>
                <w:szCs w:val="24"/>
              </w:rPr>
            </w:pPr>
            <w:r>
              <w:rPr>
                <w:rFonts w:cs="宋体" w:asciiTheme="minorEastAsia" w:hAnsiTheme="minorEastAsia"/>
                <w:b/>
                <w:kern w:val="0"/>
                <w:sz w:val="24"/>
                <w:szCs w:val="24"/>
              </w:rPr>
              <w:t>包号</w:t>
            </w:r>
          </w:p>
        </w:tc>
        <w:tc>
          <w:tcPr>
            <w:tcW w:w="85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7EA69444">
            <w:pPr>
              <w:jc w:val="center"/>
              <w:rPr>
                <w:rFonts w:cs="宋体" w:asciiTheme="minorEastAsia" w:hAnsiTheme="minorEastAsia"/>
                <w:b/>
                <w:kern w:val="0"/>
                <w:sz w:val="24"/>
                <w:szCs w:val="24"/>
              </w:rPr>
            </w:pPr>
            <w:r>
              <w:rPr>
                <w:rFonts w:cs="宋体" w:asciiTheme="minorEastAsia" w:hAnsiTheme="minorEastAsia"/>
                <w:b/>
                <w:kern w:val="0"/>
                <w:sz w:val="24"/>
                <w:szCs w:val="24"/>
              </w:rPr>
              <w:t>序号</w:t>
            </w:r>
          </w:p>
        </w:tc>
        <w:tc>
          <w:tcPr>
            <w:tcW w:w="184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23F4E22F">
            <w:pPr>
              <w:jc w:val="center"/>
              <w:rPr>
                <w:rFonts w:cs="宋体" w:asciiTheme="minorEastAsia" w:hAnsiTheme="minorEastAsia"/>
                <w:b/>
                <w:kern w:val="0"/>
                <w:sz w:val="24"/>
                <w:szCs w:val="24"/>
              </w:rPr>
            </w:pPr>
            <w:r>
              <w:rPr>
                <w:rFonts w:cs="宋体" w:asciiTheme="minorEastAsia" w:hAnsiTheme="minorEastAsia"/>
                <w:b/>
                <w:kern w:val="0"/>
                <w:sz w:val="24"/>
                <w:szCs w:val="24"/>
              </w:rPr>
              <w:t>标的名称</w:t>
            </w:r>
          </w:p>
        </w:tc>
        <w:tc>
          <w:tcPr>
            <w:tcW w:w="141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4D4C01C0">
            <w:pPr>
              <w:jc w:val="center"/>
              <w:rPr>
                <w:rFonts w:cs="宋体" w:asciiTheme="minorEastAsia" w:hAnsiTheme="minorEastAsia"/>
                <w:b/>
                <w:kern w:val="0"/>
                <w:sz w:val="24"/>
                <w:szCs w:val="24"/>
              </w:rPr>
            </w:pPr>
            <w:r>
              <w:rPr>
                <w:rFonts w:cs="宋体" w:asciiTheme="minorEastAsia" w:hAnsiTheme="minorEastAsia"/>
                <w:b/>
                <w:kern w:val="0"/>
                <w:sz w:val="24"/>
                <w:szCs w:val="24"/>
              </w:rPr>
              <w:t>品目</w:t>
            </w:r>
          </w:p>
          <w:p w14:paraId="4533F0AB">
            <w:pPr>
              <w:jc w:val="center"/>
              <w:rPr>
                <w:rFonts w:cs="宋体" w:asciiTheme="minorEastAsia" w:hAnsiTheme="minorEastAsia"/>
                <w:b/>
                <w:kern w:val="0"/>
                <w:sz w:val="24"/>
                <w:szCs w:val="24"/>
              </w:rPr>
            </w:pPr>
            <w:r>
              <w:rPr>
                <w:rFonts w:cs="宋体" w:asciiTheme="minorEastAsia" w:hAnsiTheme="minorEastAsia"/>
                <w:b/>
                <w:kern w:val="0"/>
                <w:sz w:val="24"/>
                <w:szCs w:val="24"/>
              </w:rPr>
              <w:t>分类编码</w:t>
            </w:r>
          </w:p>
        </w:tc>
        <w:tc>
          <w:tcPr>
            <w:tcW w:w="1276"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0A5C9488">
            <w:pPr>
              <w:jc w:val="center"/>
              <w:rPr>
                <w:rFonts w:cs="宋体" w:asciiTheme="minorEastAsia" w:hAnsiTheme="minorEastAsia"/>
                <w:b/>
                <w:kern w:val="0"/>
                <w:sz w:val="24"/>
                <w:szCs w:val="24"/>
              </w:rPr>
            </w:pPr>
            <w:r>
              <w:rPr>
                <w:rFonts w:cs="宋体" w:asciiTheme="minorEastAsia" w:hAnsiTheme="minorEastAsia"/>
                <w:b/>
                <w:kern w:val="0"/>
                <w:sz w:val="24"/>
                <w:szCs w:val="24"/>
              </w:rPr>
              <w:t>计量</w:t>
            </w:r>
          </w:p>
          <w:p w14:paraId="34D52F99">
            <w:pPr>
              <w:jc w:val="center"/>
              <w:rPr>
                <w:rFonts w:cs="宋体" w:asciiTheme="minorEastAsia" w:hAnsiTheme="minorEastAsia"/>
                <w:b/>
                <w:kern w:val="0"/>
                <w:sz w:val="24"/>
                <w:szCs w:val="24"/>
              </w:rPr>
            </w:pPr>
            <w:r>
              <w:rPr>
                <w:rFonts w:cs="宋体" w:asciiTheme="minorEastAsia" w:hAnsiTheme="minorEastAsia"/>
                <w:b/>
                <w:kern w:val="0"/>
                <w:sz w:val="24"/>
                <w:szCs w:val="24"/>
              </w:rPr>
              <w:t>单位</w:t>
            </w:r>
          </w:p>
        </w:tc>
        <w:tc>
          <w:tcPr>
            <w:tcW w:w="99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4462DC09">
            <w:pPr>
              <w:jc w:val="center"/>
              <w:rPr>
                <w:rFonts w:cs="宋体" w:asciiTheme="minorEastAsia" w:hAnsiTheme="minorEastAsia"/>
                <w:b/>
                <w:kern w:val="0"/>
                <w:sz w:val="24"/>
                <w:szCs w:val="24"/>
              </w:rPr>
            </w:pPr>
            <w:r>
              <w:rPr>
                <w:rFonts w:cs="宋体" w:asciiTheme="minorEastAsia" w:hAnsiTheme="minorEastAsia"/>
                <w:b/>
                <w:kern w:val="0"/>
                <w:sz w:val="24"/>
                <w:szCs w:val="24"/>
              </w:rPr>
              <w:t>数量</w:t>
            </w:r>
          </w:p>
        </w:tc>
        <w:tc>
          <w:tcPr>
            <w:tcW w:w="993"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00CD1F62">
            <w:pPr>
              <w:jc w:val="center"/>
              <w:rPr>
                <w:rFonts w:cs="宋体" w:asciiTheme="minorEastAsia" w:hAnsiTheme="minorEastAsia"/>
                <w:b/>
                <w:kern w:val="0"/>
                <w:sz w:val="24"/>
                <w:szCs w:val="24"/>
              </w:rPr>
            </w:pPr>
            <w:r>
              <w:rPr>
                <w:rFonts w:cs="宋体" w:asciiTheme="minorEastAsia" w:hAnsiTheme="minorEastAsia"/>
                <w:b/>
                <w:kern w:val="0"/>
                <w:sz w:val="24"/>
                <w:szCs w:val="24"/>
              </w:rPr>
              <w:t>是否进口</w:t>
            </w:r>
          </w:p>
        </w:tc>
      </w:tr>
      <w:tr w14:paraId="02A0441E">
        <w:tblPrEx>
          <w:tblCellMar>
            <w:top w:w="0" w:type="dxa"/>
            <w:left w:w="0" w:type="dxa"/>
            <w:bottom w:w="0" w:type="dxa"/>
            <w:right w:w="0" w:type="dxa"/>
          </w:tblCellMar>
        </w:tblPrEx>
        <w:trPr>
          <w:trHeight w:val="520" w:hRule="atLeast"/>
          <w:jc w:val="center"/>
        </w:trPr>
        <w:tc>
          <w:tcPr>
            <w:tcW w:w="85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FF1E37B">
            <w:pPr>
              <w:jc w:val="center"/>
              <w:rPr>
                <w:rFonts w:hint="eastAsia" w:cs="宋体" w:asciiTheme="minorEastAsia" w:hAnsiTheme="minorEastAsia" w:eastAsiaTheme="minorEastAsia"/>
                <w:kern w:val="0"/>
                <w:sz w:val="24"/>
                <w:szCs w:val="24"/>
                <w:lang w:val="en-US" w:eastAsia="zh-CN"/>
              </w:rPr>
            </w:pPr>
            <w:r>
              <w:rPr>
                <w:rFonts w:hint="eastAsia" w:cs="宋体" w:asciiTheme="minorEastAsia" w:hAnsiTheme="minorEastAsia"/>
                <w:kern w:val="0"/>
                <w:sz w:val="24"/>
                <w:szCs w:val="24"/>
                <w:lang w:val="en-US" w:eastAsia="zh-CN"/>
              </w:rPr>
              <w:t>1</w:t>
            </w:r>
          </w:p>
        </w:tc>
        <w:tc>
          <w:tcPr>
            <w:tcW w:w="850" w:type="dxa"/>
            <w:tcBorders>
              <w:top w:val="nil"/>
              <w:left w:val="nil"/>
              <w:bottom w:val="single" w:color="auto" w:sz="8" w:space="0"/>
              <w:right w:val="single" w:color="auto" w:sz="8" w:space="0"/>
            </w:tcBorders>
            <w:tcMar>
              <w:top w:w="0" w:type="dxa"/>
              <w:left w:w="108" w:type="dxa"/>
              <w:bottom w:w="0" w:type="dxa"/>
              <w:right w:w="108" w:type="dxa"/>
            </w:tcMar>
            <w:vAlign w:val="center"/>
          </w:tcPr>
          <w:p w14:paraId="40A66C35">
            <w:pPr>
              <w:jc w:val="center"/>
              <w:rPr>
                <w:rFonts w:hint="eastAsia" w:cs="宋体" w:asciiTheme="minorEastAsia" w:hAnsiTheme="minorEastAsia" w:eastAsiaTheme="minorEastAsia"/>
                <w:i w:val="0"/>
                <w:iCs w:val="0"/>
                <w:kern w:val="0"/>
                <w:sz w:val="24"/>
                <w:szCs w:val="24"/>
                <w:lang w:val="en-US" w:eastAsia="zh-CN"/>
              </w:rPr>
            </w:pPr>
            <w:r>
              <w:rPr>
                <w:rFonts w:hint="eastAsia" w:cs="宋体" w:asciiTheme="minorEastAsia" w:hAnsiTheme="minorEastAsia"/>
                <w:i w:val="0"/>
                <w:iCs w:val="0"/>
                <w:kern w:val="0"/>
                <w:sz w:val="24"/>
                <w:szCs w:val="24"/>
                <w:lang w:val="en-US" w:eastAsia="zh-CN"/>
              </w:rPr>
              <w:t>1</w:t>
            </w:r>
          </w:p>
        </w:tc>
        <w:tc>
          <w:tcPr>
            <w:tcW w:w="1842" w:type="dxa"/>
            <w:tcBorders>
              <w:top w:val="nil"/>
              <w:left w:val="nil"/>
              <w:bottom w:val="single" w:color="auto" w:sz="8" w:space="0"/>
              <w:right w:val="single" w:color="auto" w:sz="8" w:space="0"/>
            </w:tcBorders>
            <w:tcMar>
              <w:top w:w="0" w:type="dxa"/>
              <w:left w:w="108" w:type="dxa"/>
              <w:bottom w:w="0" w:type="dxa"/>
              <w:right w:w="108" w:type="dxa"/>
            </w:tcMar>
            <w:vAlign w:val="center"/>
          </w:tcPr>
          <w:p w14:paraId="18894CE1">
            <w:pPr>
              <w:jc w:val="center"/>
              <w:rPr>
                <w:rFonts w:cs="宋体" w:asciiTheme="minorEastAsia" w:hAnsiTheme="minorEastAsia"/>
                <w:i w:val="0"/>
                <w:iCs w:val="0"/>
                <w:kern w:val="0"/>
                <w:sz w:val="24"/>
                <w:szCs w:val="24"/>
                <w:highlight w:val="none"/>
              </w:rPr>
            </w:pPr>
            <w:r>
              <w:rPr>
                <w:rFonts w:hint="eastAsia" w:cs="宋体" w:asciiTheme="minorEastAsia" w:hAnsiTheme="minorEastAsia"/>
                <w:kern w:val="0"/>
                <w:sz w:val="24"/>
                <w:szCs w:val="24"/>
                <w:highlight w:val="none"/>
                <w:lang w:val="en-US" w:eastAsia="zh-CN"/>
              </w:rPr>
              <w:t>交通管理设备</w:t>
            </w:r>
          </w:p>
        </w:tc>
        <w:tc>
          <w:tcPr>
            <w:tcW w:w="1417" w:type="dxa"/>
            <w:tcBorders>
              <w:top w:val="nil"/>
              <w:left w:val="nil"/>
              <w:bottom w:val="single" w:color="auto" w:sz="8" w:space="0"/>
              <w:right w:val="single" w:color="auto" w:sz="8" w:space="0"/>
            </w:tcBorders>
            <w:tcMar>
              <w:top w:w="0" w:type="dxa"/>
              <w:left w:w="108" w:type="dxa"/>
              <w:bottom w:w="0" w:type="dxa"/>
              <w:right w:w="108" w:type="dxa"/>
            </w:tcMar>
            <w:vAlign w:val="center"/>
          </w:tcPr>
          <w:p w14:paraId="40FB8738">
            <w:pPr>
              <w:jc w:val="center"/>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lang w:val="en-US" w:eastAsia="zh-CN"/>
              </w:rPr>
              <w:t>A02370200</w:t>
            </w:r>
          </w:p>
        </w:tc>
        <w:tc>
          <w:tcPr>
            <w:tcW w:w="1276" w:type="dxa"/>
            <w:tcBorders>
              <w:top w:val="nil"/>
              <w:left w:val="nil"/>
              <w:bottom w:val="single" w:color="auto" w:sz="8" w:space="0"/>
              <w:right w:val="single" w:color="auto" w:sz="8" w:space="0"/>
            </w:tcBorders>
            <w:tcMar>
              <w:top w:w="0" w:type="dxa"/>
              <w:left w:w="108" w:type="dxa"/>
              <w:bottom w:w="0" w:type="dxa"/>
              <w:right w:w="108" w:type="dxa"/>
            </w:tcMar>
            <w:vAlign w:val="center"/>
          </w:tcPr>
          <w:p w14:paraId="45F5DAC0">
            <w:pPr>
              <w:jc w:val="center"/>
              <w:rPr>
                <w:rFonts w:hint="eastAsia" w:cs="宋体" w:asciiTheme="minorEastAsia" w:hAnsiTheme="minorEastAsia" w:eastAsiaTheme="minorEastAsia"/>
                <w:kern w:val="0"/>
                <w:sz w:val="24"/>
                <w:szCs w:val="24"/>
                <w:lang w:val="en-US" w:eastAsia="zh-CN"/>
              </w:rPr>
            </w:pPr>
            <w:r>
              <w:rPr>
                <w:rFonts w:hint="eastAsia" w:cs="宋体" w:asciiTheme="minorEastAsia" w:hAnsiTheme="minorEastAsia"/>
                <w:kern w:val="0"/>
                <w:sz w:val="24"/>
                <w:szCs w:val="24"/>
                <w:lang w:val="en-US" w:eastAsia="zh-CN"/>
              </w:rPr>
              <w:t>项</w:t>
            </w:r>
          </w:p>
        </w:tc>
        <w:tc>
          <w:tcPr>
            <w:tcW w:w="992" w:type="dxa"/>
            <w:tcBorders>
              <w:top w:val="nil"/>
              <w:left w:val="nil"/>
              <w:bottom w:val="single" w:color="auto" w:sz="8" w:space="0"/>
              <w:right w:val="single" w:color="auto" w:sz="8" w:space="0"/>
            </w:tcBorders>
            <w:tcMar>
              <w:top w:w="0" w:type="dxa"/>
              <w:left w:w="108" w:type="dxa"/>
              <w:bottom w:w="0" w:type="dxa"/>
              <w:right w:w="108" w:type="dxa"/>
            </w:tcMar>
            <w:vAlign w:val="center"/>
          </w:tcPr>
          <w:p w14:paraId="620B036A">
            <w:pPr>
              <w:jc w:val="center"/>
              <w:rPr>
                <w:rFonts w:hint="eastAsia" w:cs="宋体" w:asciiTheme="minorEastAsia" w:hAnsiTheme="minorEastAsia" w:eastAsiaTheme="minorEastAsia"/>
                <w:kern w:val="0"/>
                <w:sz w:val="24"/>
                <w:szCs w:val="24"/>
                <w:lang w:val="en-US" w:eastAsia="zh-CN"/>
              </w:rPr>
            </w:pPr>
            <w:r>
              <w:rPr>
                <w:rFonts w:hint="eastAsia" w:cs="宋体" w:asciiTheme="minorEastAsia" w:hAnsiTheme="minorEastAsia"/>
                <w:kern w:val="0"/>
                <w:sz w:val="24"/>
                <w:szCs w:val="24"/>
                <w:lang w:val="en-US" w:eastAsia="zh-CN"/>
              </w:rPr>
              <w:t>1</w:t>
            </w:r>
          </w:p>
        </w:tc>
        <w:tc>
          <w:tcPr>
            <w:tcW w:w="993" w:type="dxa"/>
            <w:tcBorders>
              <w:top w:val="nil"/>
              <w:left w:val="nil"/>
              <w:bottom w:val="single" w:color="auto" w:sz="8" w:space="0"/>
              <w:right w:val="single" w:color="auto" w:sz="8" w:space="0"/>
            </w:tcBorders>
            <w:tcMar>
              <w:top w:w="0" w:type="dxa"/>
              <w:left w:w="108" w:type="dxa"/>
              <w:bottom w:w="0" w:type="dxa"/>
              <w:right w:w="108" w:type="dxa"/>
            </w:tcMar>
            <w:vAlign w:val="center"/>
          </w:tcPr>
          <w:p w14:paraId="5B70C275">
            <w:pPr>
              <w:jc w:val="center"/>
              <w:rPr>
                <w:rFonts w:hint="default" w:cs="宋体" w:asciiTheme="minorEastAsia" w:hAnsiTheme="minorEastAsia" w:eastAsiaTheme="minorEastAsia"/>
                <w:kern w:val="0"/>
                <w:sz w:val="24"/>
                <w:szCs w:val="24"/>
                <w:lang w:val="en-US" w:eastAsia="zh-CN"/>
              </w:rPr>
            </w:pPr>
            <w:r>
              <w:rPr>
                <w:rFonts w:hint="eastAsia" w:cs="宋体" w:asciiTheme="minorEastAsia" w:hAnsiTheme="minorEastAsia"/>
                <w:kern w:val="0"/>
                <w:sz w:val="24"/>
                <w:szCs w:val="24"/>
                <w:lang w:val="en-US" w:eastAsia="zh-CN"/>
              </w:rPr>
              <w:t>否</w:t>
            </w:r>
          </w:p>
        </w:tc>
      </w:tr>
    </w:tbl>
    <w:p w14:paraId="114861C7">
      <w:pPr>
        <w:widowControl/>
        <w:ind w:firstLine="480" w:firstLineChars="200"/>
        <w:jc w:val="left"/>
        <w:rPr>
          <w:rFonts w:cs="宋体" w:asciiTheme="minorEastAsia" w:hAnsiTheme="minorEastAsia"/>
          <w:i/>
          <w:iCs/>
          <w:color w:val="000000"/>
          <w:kern w:val="0"/>
          <w:sz w:val="24"/>
          <w:szCs w:val="24"/>
        </w:rPr>
      </w:pPr>
    </w:p>
    <w:p w14:paraId="1C1A8EC4">
      <w:pPr>
        <w:widowControl/>
        <w:spacing w:line="360" w:lineRule="auto"/>
        <w:jc w:val="left"/>
        <w:rPr>
          <w:rFonts w:cs="宋体" w:asciiTheme="minorEastAsia" w:hAnsiTheme="minorEastAsia"/>
          <w:b/>
          <w:color w:val="000000"/>
          <w:kern w:val="0"/>
          <w:sz w:val="24"/>
          <w:szCs w:val="24"/>
        </w:rPr>
      </w:pPr>
      <w:r>
        <w:rPr>
          <w:rFonts w:cs="宋体" w:asciiTheme="minorEastAsia" w:hAnsiTheme="minorEastAsia"/>
          <w:b/>
          <w:color w:val="000000"/>
          <w:kern w:val="0"/>
          <w:sz w:val="24"/>
          <w:szCs w:val="24"/>
        </w:rPr>
        <w:t>（四）技术商务要求</w:t>
      </w:r>
    </w:p>
    <w:p w14:paraId="7FD7DFA7">
      <w:pPr>
        <w:widowControl/>
        <w:spacing w:line="360" w:lineRule="auto"/>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1.包1</w:t>
      </w:r>
    </w:p>
    <w:p w14:paraId="4303E7F7">
      <w:pPr>
        <w:widowControl/>
        <w:spacing w:line="360" w:lineRule="auto"/>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（1）技术要求</w:t>
      </w:r>
    </w:p>
    <w:p w14:paraId="1F5E553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eastAsia" w:ascii="宋体" w:hAnsi="宋体" w:eastAsia="宋体" w:cs="宋体"/>
          <w:b/>
          <w:color w:val="000000"/>
          <w:sz w:val="24"/>
          <w:szCs w:val="24"/>
        </w:rPr>
      </w:pPr>
      <w:r>
        <w:rPr>
          <w:rFonts w:hint="eastAsia" w:ascii="宋体" w:hAnsi="宋体" w:eastAsia="宋体" w:cs="宋体"/>
          <w:b/>
          <w:color w:val="000000"/>
          <w:sz w:val="24"/>
          <w:szCs w:val="24"/>
        </w:rPr>
        <w:t>一、项目概况</w:t>
      </w:r>
    </w:p>
    <w:p w14:paraId="60A4650D">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东莞市公安局交通管理支队塘厦大队</w:t>
      </w:r>
      <w:r>
        <w:rPr>
          <w:rFonts w:hint="eastAsia" w:ascii="宋体" w:hAnsi="宋体" w:eastAsia="宋体" w:cs="宋体"/>
          <w:color w:val="000000"/>
          <w:sz w:val="24"/>
          <w:szCs w:val="24"/>
        </w:rPr>
        <w:t>实施</w:t>
      </w:r>
      <w:r>
        <w:rPr>
          <w:rFonts w:hint="eastAsia" w:cs="宋体" w:asciiTheme="minorEastAsia" w:hAnsiTheme="minorEastAsia"/>
          <w:color w:val="000000"/>
          <w:kern w:val="0"/>
          <w:sz w:val="24"/>
          <w:szCs w:val="24"/>
          <w:u w:val="none"/>
          <w:lang w:eastAsia="zh-CN"/>
        </w:rPr>
        <w:t>2026年塘厦镇鼎湖科技园周边道路安装交通信号灯、电子监控抓拍设备建设项目</w:t>
      </w:r>
      <w:r>
        <w:rPr>
          <w:rFonts w:hint="eastAsia" w:ascii="宋体" w:hAnsi="宋体" w:eastAsia="宋体" w:cs="宋体"/>
          <w:color w:val="000000"/>
          <w:sz w:val="24"/>
          <w:szCs w:val="24"/>
        </w:rPr>
        <w:t>，为推动塘厦镇交通管理向信息化、智能化转变，保障交通运行安全，有效改善驾驶人的驾驶习惯，改善交通秩序，促进文明交通，提高交通通行能力，切实为民众出行保驾护航。</w:t>
      </w:r>
    </w:p>
    <w:p w14:paraId="719A469A">
      <w:pPr>
        <w:rPr>
          <w:rFonts w:hint="eastAsia"/>
        </w:rPr>
      </w:pPr>
    </w:p>
    <w:p w14:paraId="097A1609">
      <w:pPr>
        <w:keepNext w:val="0"/>
        <w:keepLines w:val="0"/>
        <w:pageBreakBefore w:val="0"/>
        <w:kinsoku/>
        <w:wordWrap/>
        <w:overflowPunct/>
        <w:topLinePunct w:val="0"/>
        <w:autoSpaceDE/>
        <w:autoSpaceDN/>
        <w:bidi w:val="0"/>
        <w:spacing w:line="360" w:lineRule="auto"/>
        <w:ind w:firstLine="482" w:firstLineChars="200"/>
        <w:outlineLvl w:val="1"/>
        <w:rPr>
          <w:rFonts w:hint="eastAsia" w:ascii="宋体" w:hAnsi="宋体" w:eastAsia="宋体" w:cs="宋体"/>
          <w:b/>
          <w:color w:val="000000"/>
          <w:sz w:val="24"/>
          <w:szCs w:val="24"/>
        </w:rPr>
      </w:pPr>
      <w:bookmarkStart w:id="0" w:name="_Toc15717"/>
      <w:r>
        <w:rPr>
          <w:rFonts w:hint="eastAsia" w:ascii="宋体" w:hAnsi="宋体" w:eastAsia="宋体" w:cs="宋体"/>
          <w:b/>
          <w:color w:val="000000"/>
          <w:sz w:val="24"/>
          <w:szCs w:val="24"/>
        </w:rPr>
        <w:t>二、技术标准</w:t>
      </w:r>
      <w:bookmarkEnd w:id="0"/>
    </w:p>
    <w:p w14:paraId="1E9A49C8">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1、设计标准及依据</w:t>
      </w:r>
    </w:p>
    <w:p w14:paraId="405A7AC9">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本次系统设计遵循以下标准规范及指导意见：</w:t>
      </w:r>
    </w:p>
    <w:p w14:paraId="675352F7">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(1)《中华人民共和国道路交通安全法》；</w:t>
      </w:r>
    </w:p>
    <w:p w14:paraId="68C07C3A">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(2)《中华人民共和国道路交通安全法实施条例》；</w:t>
      </w:r>
    </w:p>
    <w:p w14:paraId="0381E459">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(3)GA/T651-2021《公安交通指挥系统工程建设通用程序和要求》；</w:t>
      </w:r>
    </w:p>
    <w:p w14:paraId="309A557A">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(4)GA/T652-2017《公安交通管理外场设备基础设施施工通用要求》；</w:t>
      </w:r>
    </w:p>
    <w:p w14:paraId="267840F0">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(5)GA/T 670-2006《安全防范系统雷电浪涌防护技术要求》；</w:t>
      </w:r>
    </w:p>
    <w:p w14:paraId="15511784">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(6)GB50343-2012《建筑物电子信息系统防雷技术规范》；</w:t>
      </w:r>
    </w:p>
    <w:p w14:paraId="700AF470">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(7)GB 50057-2010《建筑物防雷设计规范》；</w:t>
      </w:r>
    </w:p>
    <w:p w14:paraId="01E77C6B">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(8)GB50343-2012《建筑物电子信息系统防雷技术规范》；</w:t>
      </w:r>
    </w:p>
    <w:p w14:paraId="306D26FF">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(9)GB25280-2016《道路交通信号控制机》；</w:t>
      </w:r>
    </w:p>
    <w:p w14:paraId="74F6E741">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(10)GB/T20999-2017《交通信号控制机与上位机间的数据通信协议》；</w:t>
      </w:r>
    </w:p>
    <w:p w14:paraId="0EE4D9FC">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(11)GA/T527-2015《道路交通信号控制方式（系列）》；</w:t>
      </w:r>
    </w:p>
    <w:p w14:paraId="51104A9B">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(12)GA/T508-2014《道路交通信号倒计时显示器》；</w:t>
      </w:r>
    </w:p>
    <w:p w14:paraId="0FE90F3C">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(13)GA/T920-2010《道路交通信号机与车辆检测器间的通信协议》；</w:t>
      </w:r>
    </w:p>
    <w:p w14:paraId="015CD6B2">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(14)GB14886-2016《道路交通信号灯设置与安装规范》；</w:t>
      </w:r>
    </w:p>
    <w:p w14:paraId="65BA2E35">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(15)GA/T489—2016《道路交通信号控制机安装规范》；</w:t>
      </w:r>
    </w:p>
    <w:p w14:paraId="78702132">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(16)GB14887-2011《道路交通信号灯》；</w:t>
      </w:r>
    </w:p>
    <w:p w14:paraId="73B2D374">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(17)GB/T8417-2003《灯光信号颜色》；</w:t>
      </w:r>
    </w:p>
    <w:p w14:paraId="17A62447">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(18)GA/T751-2008《视频图像文字标注规范》</w:t>
      </w:r>
    </w:p>
    <w:p w14:paraId="25B0F419">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(19)GA/T496-2014《闯红灯自动记录系统通用技术条件》</w:t>
      </w:r>
    </w:p>
    <w:p w14:paraId="793DE559">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(20)GA/T832-2014《道路交通安全违法行为图像取证技术规范》</w:t>
      </w:r>
    </w:p>
    <w:p w14:paraId="08F3B9A4">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(21)GA/T1202-2014《交通技术监控成像补光装置通用技术规范》</w:t>
      </w:r>
    </w:p>
    <w:p w14:paraId="4098596F">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(22)GA/T497-2016《道路车辆智能监测记录系统通用技术条件》</w:t>
      </w:r>
    </w:p>
    <w:p w14:paraId="16EEA161">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(23)GA/T833-2016《机动车号牌图像自动识别技术规范》</w:t>
      </w:r>
    </w:p>
    <w:p w14:paraId="1B17A052">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(24)GB/T 28181-2016《安全防范视频监控联网系统信息传输、交换、控制技术要求》</w:t>
      </w:r>
    </w:p>
    <w:p w14:paraId="17B29A1E">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(25)东莞市公安局治安卡口、电子警察建设联网及数据传输技术规范</w:t>
      </w:r>
    </w:p>
    <w:p w14:paraId="29404367">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(26)东莞市公安交通管控设施建设指引；</w:t>
      </w:r>
    </w:p>
    <w:p w14:paraId="06DC19EF">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(27)根据省厅《转发公安部科技信息化局关于印发〈强制性国家标准《公共安全视频监控联网信息安全技术要求》建设工作指引〉〈强制性国家标准《公共安全视频监控联网信息安全技术要求》实施技术指南〉的通知》（粤公网发〔2023〕3158号）要求，所有新建和改造摄像机均至少需要支持GB 35114标准A级功能，中央国家机关和其他重要党政机关周边、外国驻华使领馆周边、军事禁区和军事管理区周边、宗教活动场所、安保警卫重点区域、重要铁路沿线等重点部位的摄像机应达到GB 35114标准C级要求。</w:t>
      </w:r>
    </w:p>
    <w:p w14:paraId="71CEB805">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(28)东莞市公安交通管控设施建设指引</w:t>
      </w:r>
    </w:p>
    <w:p w14:paraId="32D49C01">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)东莞市交通警察支队电子警察建设指导意见</w:t>
      </w:r>
      <w:bookmarkStart w:id="1" w:name="_Toc13945"/>
      <w:bookmarkStart w:id="2" w:name="_Toc7906"/>
    </w:p>
    <w:p w14:paraId="45ED4B1B">
      <w:pPr>
        <w:rPr>
          <w:rFonts w:hint="eastAsia"/>
        </w:rPr>
      </w:pPr>
    </w:p>
    <w:p w14:paraId="769EADF2">
      <w:pPr>
        <w:keepNext w:val="0"/>
        <w:keepLines w:val="0"/>
        <w:pageBreakBefore w:val="0"/>
        <w:numPr>
          <w:ilvl w:val="0"/>
          <w:numId w:val="0"/>
        </w:numPr>
        <w:kinsoku/>
        <w:wordWrap/>
        <w:overflowPunct/>
        <w:topLinePunct w:val="0"/>
        <w:autoSpaceDE/>
        <w:autoSpaceDN/>
        <w:bidi w:val="0"/>
        <w:spacing w:line="360" w:lineRule="auto"/>
        <w:ind w:firstLine="482" w:firstLineChars="200"/>
        <w:outlineLvl w:val="1"/>
        <w:rPr>
          <w:rFonts w:hint="eastAsia" w:ascii="宋体" w:hAnsi="宋体" w:eastAsia="宋体" w:cs="宋体"/>
          <w:b/>
          <w:color w:val="000000"/>
          <w:sz w:val="24"/>
          <w:szCs w:val="24"/>
        </w:rPr>
      </w:pPr>
      <w:r>
        <w:rPr>
          <w:rFonts w:hint="eastAsia" w:ascii="宋体" w:hAnsi="宋体" w:eastAsia="宋体" w:cs="宋体"/>
          <w:b/>
          <w:color w:val="000000"/>
          <w:sz w:val="24"/>
          <w:szCs w:val="24"/>
        </w:rPr>
        <w:t>三、</w:t>
      </w:r>
      <w:bookmarkEnd w:id="1"/>
      <w:r>
        <w:rPr>
          <w:rFonts w:hint="eastAsia" w:ascii="宋体" w:hAnsi="宋体" w:eastAsia="宋体" w:cs="宋体"/>
          <w:b/>
          <w:color w:val="000000"/>
          <w:sz w:val="24"/>
          <w:szCs w:val="24"/>
        </w:rPr>
        <w:t>采购内容</w:t>
      </w:r>
    </w:p>
    <w:p w14:paraId="22997104">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cs="宋体" w:asciiTheme="minorEastAsia" w:hAnsiTheme="minorEastAsia"/>
          <w:color w:val="000000"/>
          <w:kern w:val="0"/>
          <w:sz w:val="24"/>
          <w:szCs w:val="24"/>
          <w:u w:val="none"/>
          <w:lang w:eastAsia="zh-CN"/>
        </w:rPr>
        <w:t>2026年塘厦镇鼎湖科技园周边道路安装交通信号灯、电子监控抓拍设备建设项目</w:t>
      </w:r>
      <w:r>
        <w:rPr>
          <w:rFonts w:hint="eastAsia" w:ascii="宋体" w:hAnsi="宋体" w:eastAsia="宋体" w:cs="宋体"/>
          <w:color w:val="000000"/>
          <w:sz w:val="24"/>
          <w:szCs w:val="24"/>
        </w:rPr>
        <w:t>主要实施内容</w:t>
      </w:r>
      <w:r>
        <w:rPr>
          <w:rFonts w:hint="eastAsia" w:ascii="宋体" w:hAnsi="宋体" w:eastAsia="宋体" w:cs="宋体"/>
          <w:color w:val="000000"/>
          <w:sz w:val="24"/>
          <w:szCs w:val="24"/>
          <w:lang w:val="en-US" w:eastAsia="zh-CN"/>
        </w:rPr>
        <w:t>如下</w:t>
      </w:r>
      <w:r>
        <w:rPr>
          <w:rFonts w:hint="eastAsia" w:ascii="宋体" w:hAnsi="宋体" w:eastAsia="宋体" w:cs="宋体"/>
          <w:color w:val="000000"/>
          <w:sz w:val="24"/>
          <w:szCs w:val="24"/>
        </w:rPr>
        <w:t>：</w:t>
      </w:r>
    </w:p>
    <w:p w14:paraId="6A078BF6">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在</w:t>
      </w:r>
      <w:r>
        <w:rPr>
          <w:rFonts w:hint="eastAsia" w:ascii="宋体" w:hAnsi="宋体" w:eastAsia="宋体" w:cs="宋体"/>
          <w:sz w:val="24"/>
          <w:szCs w:val="24"/>
          <w:highlight w:val="none"/>
          <w:lang w:eastAsia="zh-CN"/>
        </w:rPr>
        <w:t>塘厦镇四黎南路龙潭路路口、科苑大道鹅岭路路口</w:t>
      </w:r>
      <w:r>
        <w:rPr>
          <w:rFonts w:hint="eastAsia" w:ascii="宋体" w:hAnsi="宋体" w:eastAsia="宋体" w:cs="宋体"/>
          <w:sz w:val="24"/>
          <w:szCs w:val="24"/>
          <w:highlight w:val="none"/>
          <w:lang w:val="en-US" w:eastAsia="zh-CN"/>
        </w:rPr>
        <w:t>等2个路口新建交通信号灯系统建设</w:t>
      </w:r>
      <w:r>
        <w:rPr>
          <w:rFonts w:hint="eastAsia" w:ascii="宋体" w:hAnsi="宋体" w:eastAsia="宋体" w:cs="宋体"/>
          <w:sz w:val="24"/>
          <w:szCs w:val="24"/>
          <w:highlight w:val="none"/>
          <w:lang w:eastAsia="zh-CN"/>
        </w:rPr>
        <w:t>闯红灯电子警察</w:t>
      </w:r>
      <w:r>
        <w:rPr>
          <w:rFonts w:hint="eastAsia" w:ascii="宋体" w:hAnsi="宋体" w:eastAsia="宋体" w:cs="宋体"/>
          <w:sz w:val="24"/>
          <w:szCs w:val="24"/>
          <w:highlight w:val="none"/>
          <w:lang w:val="en-US" w:eastAsia="zh-CN"/>
        </w:rPr>
        <w:t>设备，</w:t>
      </w:r>
      <w:r>
        <w:rPr>
          <w:rFonts w:hint="eastAsia" w:ascii="宋体" w:hAnsi="宋体" w:eastAsia="宋体" w:cs="宋体"/>
          <w:sz w:val="24"/>
          <w:szCs w:val="24"/>
          <w:highlight w:val="none"/>
          <w:lang w:eastAsia="zh-CN"/>
        </w:rPr>
        <w:t>合共建设</w:t>
      </w:r>
      <w:r>
        <w:rPr>
          <w:rFonts w:hint="eastAsia" w:ascii="宋体" w:hAnsi="宋体" w:eastAsia="宋体" w:cs="宋体"/>
          <w:sz w:val="24"/>
          <w:szCs w:val="24"/>
          <w:highlight w:val="none"/>
          <w:lang w:val="en-US" w:eastAsia="zh-CN"/>
        </w:rPr>
        <w:t>2个路口</w:t>
      </w:r>
      <w:r>
        <w:rPr>
          <w:rFonts w:hint="eastAsia" w:ascii="宋体" w:hAnsi="宋体" w:eastAsia="宋体" w:cs="宋体"/>
          <w:sz w:val="24"/>
          <w:szCs w:val="24"/>
          <w:highlight w:val="none"/>
          <w:lang w:eastAsia="zh-CN"/>
        </w:rPr>
        <w:t>闯红灯电子警察抓拍设备(共</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lang w:eastAsia="zh-CN"/>
        </w:rPr>
        <w:t>个方向,</w:t>
      </w:r>
      <w:r>
        <w:rPr>
          <w:rFonts w:hint="eastAsia" w:ascii="宋体" w:hAnsi="宋体" w:eastAsia="宋体" w:cs="宋体"/>
          <w:sz w:val="24"/>
          <w:szCs w:val="24"/>
          <w:highlight w:val="none"/>
          <w:lang w:val="en-US" w:eastAsia="zh-CN"/>
        </w:rPr>
        <w:t xml:space="preserve"> 13</w:t>
      </w:r>
      <w:r>
        <w:rPr>
          <w:rFonts w:hint="eastAsia" w:ascii="宋体" w:hAnsi="宋体" w:eastAsia="宋体" w:cs="宋体"/>
          <w:sz w:val="24"/>
          <w:szCs w:val="24"/>
          <w:highlight w:val="none"/>
          <w:lang w:eastAsia="zh-CN"/>
        </w:rPr>
        <w:t>条电警车道，</w:t>
      </w:r>
      <w:r>
        <w:rPr>
          <w:rFonts w:hint="eastAsia" w:ascii="宋体" w:hAnsi="宋体" w:eastAsia="宋体" w:cs="宋体"/>
          <w:sz w:val="24"/>
          <w:szCs w:val="24"/>
          <w:highlight w:val="none"/>
          <w:lang w:val="en-US" w:eastAsia="zh-CN"/>
        </w:rPr>
        <w:t>13</w:t>
      </w:r>
      <w:r>
        <w:rPr>
          <w:rFonts w:hint="eastAsia" w:ascii="宋体" w:hAnsi="宋体" w:eastAsia="宋体" w:cs="宋体"/>
          <w:sz w:val="24"/>
          <w:szCs w:val="24"/>
          <w:highlight w:val="none"/>
          <w:lang w:eastAsia="zh-CN"/>
        </w:rPr>
        <w:t>条反向卡口车道,共</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lang w:eastAsia="zh-CN"/>
        </w:rPr>
        <w:t>台900w电警抓拍单元,</w:t>
      </w:r>
      <w:r>
        <w:rPr>
          <w:rFonts w:hint="eastAsia" w:ascii="宋体" w:hAnsi="宋体" w:eastAsia="宋体" w:cs="宋体"/>
          <w:sz w:val="24"/>
          <w:szCs w:val="24"/>
          <w:highlight w:val="none"/>
          <w:lang w:val="en-US" w:eastAsia="zh-CN"/>
        </w:rPr>
        <w:t xml:space="preserve"> 8</w:t>
      </w:r>
      <w:r>
        <w:rPr>
          <w:rFonts w:hint="eastAsia" w:ascii="宋体" w:hAnsi="宋体" w:eastAsia="宋体" w:cs="宋体"/>
          <w:sz w:val="24"/>
          <w:szCs w:val="24"/>
          <w:highlight w:val="none"/>
          <w:lang w:eastAsia="zh-CN"/>
        </w:rPr>
        <w:t>台900w卡口抓拍单元，配套对应数量的补光设备及相关设施），</w:t>
      </w:r>
      <w:r>
        <w:rPr>
          <w:rFonts w:hint="eastAsia" w:ascii="宋体" w:hAnsi="宋体" w:eastAsia="宋体" w:cs="宋体"/>
          <w:sz w:val="24"/>
          <w:szCs w:val="24"/>
          <w:highlight w:val="none"/>
          <w:lang w:val="en-US" w:eastAsia="zh-CN"/>
        </w:rPr>
        <w:t>2个路口红绿灯信号控制系统（共7个方向，15条车道，2台信控主机，配套对应数量的信号灯及</w:t>
      </w:r>
      <w:r>
        <w:rPr>
          <w:rFonts w:hint="eastAsia" w:ascii="宋体" w:hAnsi="宋体" w:eastAsia="宋体" w:cs="宋体"/>
          <w:sz w:val="24"/>
          <w:szCs w:val="24"/>
          <w:highlight w:val="none"/>
          <w:lang w:eastAsia="zh-CN"/>
        </w:rPr>
        <w:t>相关设施</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lang w:eastAsia="zh-CN"/>
        </w:rPr>
        <w:t>在大坪规划三路、企洞路、富民路、科苑大道、苑中路、林坪路、四黎南路共</w:t>
      </w:r>
      <w:r>
        <w:rPr>
          <w:rFonts w:hint="eastAsia" w:ascii="宋体" w:hAnsi="宋体" w:eastAsia="宋体" w:cs="宋体"/>
          <w:sz w:val="24"/>
          <w:szCs w:val="24"/>
          <w:highlight w:val="none"/>
          <w:lang w:val="en-US" w:eastAsia="zh-CN"/>
        </w:rPr>
        <w:t>建设18</w:t>
      </w:r>
      <w:r>
        <w:rPr>
          <w:rFonts w:hint="eastAsia" w:ascii="宋体" w:hAnsi="宋体" w:eastAsia="宋体" w:cs="宋体"/>
          <w:sz w:val="24"/>
          <w:szCs w:val="24"/>
          <w:highlight w:val="none"/>
          <w:lang w:eastAsia="zh-CN"/>
        </w:rPr>
        <w:t>个点位的违停抓拍系统（共</w:t>
      </w:r>
      <w:r>
        <w:rPr>
          <w:rFonts w:hint="eastAsia" w:ascii="宋体" w:hAnsi="宋体" w:eastAsia="宋体" w:cs="宋体"/>
          <w:sz w:val="24"/>
          <w:szCs w:val="24"/>
          <w:highlight w:val="none"/>
          <w:lang w:val="en-US" w:eastAsia="zh-CN"/>
        </w:rPr>
        <w:t>18</w:t>
      </w:r>
      <w:r>
        <w:rPr>
          <w:rFonts w:hint="eastAsia" w:ascii="宋体" w:hAnsi="宋体" w:eastAsia="宋体" w:cs="宋体"/>
          <w:sz w:val="24"/>
          <w:szCs w:val="24"/>
          <w:highlight w:val="none"/>
          <w:lang w:eastAsia="zh-CN"/>
        </w:rPr>
        <w:t>台违停抓拍球机及相关设施）。</w:t>
      </w:r>
    </w:p>
    <w:p w14:paraId="5FEF40E9">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在塘厦交</w:t>
      </w:r>
      <w:r>
        <w:rPr>
          <w:rFonts w:hint="eastAsia" w:ascii="宋体" w:hAnsi="宋体" w:eastAsia="宋体" w:cs="宋体"/>
          <w:sz w:val="24"/>
          <w:szCs w:val="24"/>
          <w:highlight w:val="none"/>
          <w:lang w:val="en-US" w:eastAsia="zh-CN"/>
        </w:rPr>
        <w:t>管</w:t>
      </w:r>
      <w:r>
        <w:rPr>
          <w:rFonts w:hint="eastAsia" w:ascii="宋体" w:hAnsi="宋体" w:eastAsia="宋体" w:cs="宋体"/>
          <w:sz w:val="24"/>
          <w:szCs w:val="24"/>
          <w:highlight w:val="none"/>
          <w:lang w:eastAsia="zh-CN"/>
        </w:rPr>
        <w:t>大队利旧指挥中心智能交通管理平台，</w:t>
      </w:r>
      <w:r>
        <w:rPr>
          <w:rFonts w:hint="eastAsia" w:ascii="宋体" w:hAnsi="宋体" w:eastAsia="宋体" w:cs="宋体"/>
          <w:sz w:val="24"/>
          <w:szCs w:val="24"/>
          <w:highlight w:val="none"/>
          <w:lang w:val="en-US" w:eastAsia="zh-CN"/>
        </w:rPr>
        <w:t>本次项目仅对</w:t>
      </w:r>
      <w:r>
        <w:rPr>
          <w:rFonts w:hint="eastAsia" w:ascii="宋体" w:hAnsi="宋体" w:eastAsia="宋体" w:cs="宋体"/>
          <w:sz w:val="24"/>
          <w:szCs w:val="24"/>
          <w:highlight w:val="none"/>
          <w:lang w:eastAsia="zh-CN"/>
        </w:rPr>
        <w:t>相应设备接入与交通事件采集应用功能组件软件授权扩容，在塘厦交</w:t>
      </w:r>
      <w:r>
        <w:rPr>
          <w:rFonts w:hint="eastAsia" w:ascii="宋体" w:hAnsi="宋体" w:eastAsia="宋体" w:cs="宋体"/>
          <w:sz w:val="24"/>
          <w:szCs w:val="24"/>
          <w:highlight w:val="none"/>
          <w:lang w:val="en-US" w:eastAsia="zh-CN"/>
        </w:rPr>
        <w:t>管</w:t>
      </w:r>
      <w:r>
        <w:rPr>
          <w:rFonts w:hint="eastAsia" w:ascii="宋体" w:hAnsi="宋体" w:eastAsia="宋体" w:cs="宋体"/>
          <w:sz w:val="24"/>
          <w:szCs w:val="24"/>
          <w:highlight w:val="none"/>
          <w:lang w:eastAsia="zh-CN"/>
        </w:rPr>
        <w:t>大队监控中心已建设信号控制联网管理平台，本次项目仅对信号控制机接入软件授权扩容，本次项目</w:t>
      </w:r>
      <w:r>
        <w:rPr>
          <w:rFonts w:hint="eastAsia" w:ascii="宋体" w:hAnsi="宋体" w:eastAsia="宋体" w:cs="宋体"/>
          <w:sz w:val="24"/>
          <w:szCs w:val="24"/>
          <w:highlight w:val="none"/>
          <w:lang w:val="en-US" w:eastAsia="zh-CN"/>
        </w:rPr>
        <w:t>建设不增加存储，数据存储于原先建好的存储系统中。</w:t>
      </w:r>
    </w:p>
    <w:p w14:paraId="374DA7C9">
      <w:pPr>
        <w:keepNext w:val="0"/>
        <w:keepLines w:val="0"/>
        <w:pageBreakBefore w:val="0"/>
        <w:kinsoku/>
        <w:wordWrap/>
        <w:overflowPunct/>
        <w:topLinePunct w:val="0"/>
        <w:autoSpaceDE/>
        <w:autoSpaceDN/>
        <w:bidi w:val="0"/>
        <w:spacing w:line="480" w:lineRule="exact"/>
        <w:ind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本项目</w:t>
      </w:r>
      <w:r>
        <w:rPr>
          <w:rFonts w:hint="eastAsia" w:ascii="宋体" w:hAnsi="宋体" w:eastAsia="宋体" w:cs="宋体"/>
          <w:color w:val="000000"/>
          <w:sz w:val="24"/>
          <w:szCs w:val="24"/>
          <w:lang w:eastAsia="zh-CN"/>
        </w:rPr>
        <w:t>租用</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lang w:eastAsia="zh-CN"/>
        </w:rPr>
        <w:t>条运营商光纤与交</w:t>
      </w:r>
      <w:r>
        <w:rPr>
          <w:rFonts w:hint="eastAsia" w:ascii="宋体" w:hAnsi="宋体" w:eastAsia="宋体" w:cs="宋体"/>
          <w:color w:val="000000"/>
          <w:sz w:val="24"/>
          <w:szCs w:val="24"/>
          <w:lang w:val="en-US" w:eastAsia="zh-CN"/>
        </w:rPr>
        <w:t>管</w:t>
      </w:r>
      <w:r>
        <w:rPr>
          <w:rFonts w:hint="eastAsia" w:ascii="宋体" w:hAnsi="宋体" w:eastAsia="宋体" w:cs="宋体"/>
          <w:color w:val="000000"/>
          <w:sz w:val="24"/>
          <w:szCs w:val="24"/>
          <w:lang w:eastAsia="zh-CN"/>
        </w:rPr>
        <w:t>指挥中心联网，实现</w:t>
      </w:r>
      <w:r>
        <w:rPr>
          <w:rFonts w:hint="eastAsia" w:ascii="宋体" w:hAnsi="宋体" w:eastAsia="宋体" w:cs="宋体"/>
          <w:color w:val="000000"/>
          <w:sz w:val="24"/>
          <w:szCs w:val="24"/>
          <w:lang w:val="en-US" w:eastAsia="zh-CN"/>
        </w:rPr>
        <w:t>电子警察系统及</w:t>
      </w:r>
      <w:r>
        <w:rPr>
          <w:rFonts w:hint="eastAsia" w:ascii="宋体" w:hAnsi="宋体" w:eastAsia="宋体" w:cs="宋体"/>
          <w:color w:val="000000"/>
          <w:sz w:val="24"/>
          <w:szCs w:val="24"/>
          <w:lang w:eastAsia="zh-CN"/>
        </w:rPr>
        <w:t>信号控制系统市镇联网可控</w:t>
      </w:r>
      <w:r>
        <w:rPr>
          <w:rFonts w:hint="eastAsia" w:ascii="宋体" w:hAnsi="宋体" w:eastAsia="宋体" w:cs="宋体"/>
          <w:color w:val="000000"/>
          <w:sz w:val="24"/>
          <w:szCs w:val="24"/>
          <w:lang w:val="en-US" w:eastAsia="zh-CN"/>
        </w:rPr>
        <w:t>。</w:t>
      </w:r>
    </w:p>
    <w:p w14:paraId="1477BC14">
      <w:pPr>
        <w:keepNext w:val="0"/>
        <w:keepLines w:val="0"/>
        <w:pageBreakBefore w:val="0"/>
        <w:kinsoku/>
        <w:wordWrap/>
        <w:overflowPunct/>
        <w:topLinePunct w:val="0"/>
        <w:autoSpaceDE/>
        <w:autoSpaceDN/>
        <w:bidi w:val="0"/>
        <w:spacing w:line="480" w:lineRule="exact"/>
        <w:ind w:firstLine="480" w:firstLineChars="200"/>
        <w:rPr>
          <w:rFonts w:hint="default" w:ascii="宋体" w:hAnsi="宋体" w:eastAsia="宋体" w:cs="宋体"/>
          <w:color w:val="000000"/>
          <w:sz w:val="24"/>
          <w:szCs w:val="24"/>
          <w:lang w:val="en-US" w:eastAsia="zh-CN"/>
        </w:rPr>
      </w:pPr>
    </w:p>
    <w:p w14:paraId="7FE19572">
      <w:pPr>
        <w:rPr>
          <w:rFonts w:hint="eastAsia" w:ascii="宋体" w:hAnsi="宋体" w:eastAsia="宋体" w:cs="宋体"/>
          <w:kern w:val="2"/>
          <w:sz w:val="24"/>
          <w:szCs w:val="24"/>
          <w:u w:val="none" w:color="auto"/>
          <w:lang w:val="en-US" w:eastAsia="zh-CN" w:bidi="ar-SA"/>
        </w:rPr>
      </w:pPr>
      <w:r>
        <w:rPr>
          <w:rFonts w:hint="eastAsia" w:ascii="宋体" w:hAnsi="宋体" w:eastAsia="宋体" w:cs="宋体"/>
          <w:kern w:val="2"/>
          <w:sz w:val="24"/>
          <w:szCs w:val="24"/>
          <w:u w:val="none" w:color="auto"/>
          <w:lang w:val="en-US" w:eastAsia="zh-CN" w:bidi="ar-SA"/>
        </w:rPr>
        <w:br w:type="page"/>
      </w:r>
    </w:p>
    <w:p w14:paraId="4129CA07">
      <w:pPr>
        <w:keepNext w:val="0"/>
        <w:keepLines w:val="0"/>
        <w:pageBreakBefore w:val="0"/>
        <w:numPr>
          <w:ilvl w:val="0"/>
          <w:numId w:val="0"/>
        </w:numPr>
        <w:kinsoku/>
        <w:wordWrap/>
        <w:overflowPunct/>
        <w:topLinePunct w:val="0"/>
        <w:autoSpaceDE/>
        <w:autoSpaceDN/>
        <w:bidi w:val="0"/>
        <w:spacing w:line="480" w:lineRule="exact"/>
        <w:rPr>
          <w:rFonts w:hint="eastAsia" w:ascii="宋体" w:hAnsi="宋体" w:eastAsia="宋体" w:cs="宋体"/>
          <w:kern w:val="2"/>
          <w:sz w:val="24"/>
          <w:szCs w:val="24"/>
          <w:u w:val="none" w:color="auto"/>
          <w:lang w:val="en-US" w:eastAsia="zh-CN" w:bidi="ar-SA"/>
        </w:rPr>
      </w:pPr>
      <w:r>
        <w:rPr>
          <w:rFonts w:hint="eastAsia" w:ascii="宋体" w:hAnsi="宋体" w:eastAsia="宋体" w:cs="宋体"/>
          <w:kern w:val="2"/>
          <w:sz w:val="24"/>
          <w:szCs w:val="24"/>
          <w:u w:val="none" w:color="auto"/>
          <w:lang w:val="en-US" w:eastAsia="zh-CN" w:bidi="ar-SA"/>
        </w:rPr>
        <w:t>项目点位布置图如下：</w:t>
      </w:r>
    </w:p>
    <w:p w14:paraId="67DAA20F">
      <w:pPr>
        <w:keepNext w:val="0"/>
        <w:keepLines w:val="0"/>
        <w:pageBreakBefore w:val="0"/>
        <w:numPr>
          <w:ilvl w:val="0"/>
          <w:numId w:val="1"/>
        </w:numPr>
        <w:kinsoku/>
        <w:wordWrap/>
        <w:overflowPunct/>
        <w:topLinePunct w:val="0"/>
        <w:autoSpaceDE/>
        <w:autoSpaceDN/>
        <w:bidi w:val="0"/>
        <w:spacing w:line="480" w:lineRule="exac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四黎南路龙潭路路口（电警+红绿灯）</w:t>
      </w:r>
    </w:p>
    <w:p w14:paraId="299545D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kern w:val="2"/>
          <w:sz w:val="24"/>
          <w:szCs w:val="24"/>
          <w:u w:val="none" w:color="auto"/>
          <w:lang w:val="en-US" w:eastAsia="zh-CN" w:bidi="ar-SA"/>
        </w:rPr>
      </w:pPr>
      <w:r>
        <w:rPr>
          <w:rFonts w:hint="eastAsia" w:ascii="宋体" w:hAnsi="宋体" w:eastAsia="宋体" w:cs="宋体"/>
          <w:kern w:val="2"/>
          <w:sz w:val="24"/>
          <w:szCs w:val="24"/>
          <w:u w:val="none" w:color="auto"/>
          <w:lang w:val="en-US" w:eastAsia="zh-CN" w:bidi="ar-SA"/>
        </w:rPr>
        <w:drawing>
          <wp:inline distT="0" distB="0" distL="114300" distR="114300">
            <wp:extent cx="5264150" cy="3721735"/>
            <wp:effectExtent l="0" t="0" r="12700" b="12065"/>
            <wp:docPr id="5" name="图片 5" descr="塘厦镇鼎湖科技园周边道路安装交通信号灯、电子监控抓拍设备建设项目-平面图20260106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塘厦镇鼎湖科技园周边道路安装交通信号灯、电子监控抓拍设备建设项目-平面图20260106_页面_03"/>
                    <pic:cNvPicPr>
                      <a:picLocks noChangeAspect="1"/>
                    </pic:cNvPicPr>
                  </pic:nvPicPr>
                  <pic:blipFill>
                    <a:blip r:embed="rId4"/>
                    <a:stretch>
                      <a:fillRect/>
                    </a:stretch>
                  </pic:blipFill>
                  <pic:spPr>
                    <a:xfrm>
                      <a:off x="0" y="0"/>
                      <a:ext cx="5264150" cy="3721735"/>
                    </a:xfrm>
                    <a:prstGeom prst="rect">
                      <a:avLst/>
                    </a:prstGeom>
                  </pic:spPr>
                </pic:pic>
              </a:graphicData>
            </a:graphic>
          </wp:inline>
        </w:drawing>
      </w:r>
    </w:p>
    <w:p w14:paraId="6DFA32A7">
      <w:pPr>
        <w:keepNext w:val="0"/>
        <w:keepLines w:val="0"/>
        <w:pageBreakBefore w:val="0"/>
        <w:numPr>
          <w:ilvl w:val="0"/>
          <w:numId w:val="1"/>
        </w:numPr>
        <w:kinsoku/>
        <w:wordWrap/>
        <w:overflowPunct/>
        <w:topLinePunct w:val="0"/>
        <w:autoSpaceDE/>
        <w:autoSpaceDN/>
        <w:bidi w:val="0"/>
        <w:spacing w:line="480" w:lineRule="exac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科苑大道鹅岭路路口（电警+红绿灯）</w:t>
      </w:r>
    </w:p>
    <w:p w14:paraId="06EFB1F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lang w:eastAsia="zh-CN"/>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sz w:val="24"/>
          <w:szCs w:val="24"/>
          <w:lang w:eastAsia="zh-CN"/>
        </w:rPr>
        <w:drawing>
          <wp:inline distT="0" distB="0" distL="114300" distR="114300">
            <wp:extent cx="5265420" cy="3721735"/>
            <wp:effectExtent l="0" t="0" r="11430" b="12065"/>
            <wp:docPr id="6" name="图片 6" descr="塘厦镇鼎湖科技园周边道路安装交通信号灯、电子监控抓拍设备建设项目-平面图20260106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塘厦镇鼎湖科技园周边道路安装交通信号灯、电子监控抓拍设备建设项目-平面图20260106_页面_02"/>
                    <pic:cNvPicPr>
                      <a:picLocks noChangeAspect="1"/>
                    </pic:cNvPicPr>
                  </pic:nvPicPr>
                  <pic:blipFill>
                    <a:blip r:embed="rId5"/>
                    <a:stretch>
                      <a:fillRect/>
                    </a:stretch>
                  </pic:blipFill>
                  <pic:spPr>
                    <a:xfrm>
                      <a:off x="0" y="0"/>
                      <a:ext cx="5265420" cy="3721735"/>
                    </a:xfrm>
                    <a:prstGeom prst="rect">
                      <a:avLst/>
                    </a:prstGeom>
                  </pic:spPr>
                </pic:pic>
              </a:graphicData>
            </a:graphic>
          </wp:inline>
        </w:drawing>
      </w:r>
    </w:p>
    <w:p w14:paraId="3809DEE7">
      <w:pPr>
        <w:keepNext w:val="0"/>
        <w:keepLines w:val="0"/>
        <w:pageBreakBefore w:val="0"/>
        <w:numPr>
          <w:ilvl w:val="0"/>
          <w:numId w:val="1"/>
        </w:numPr>
        <w:kinsoku/>
        <w:wordWrap/>
        <w:overflowPunct/>
        <w:topLinePunct w:val="0"/>
        <w:autoSpaceDE/>
        <w:autoSpaceDN/>
        <w:bidi w:val="0"/>
        <w:spacing w:line="480" w:lineRule="exac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大坪规划三路A区3号停车场入口路段（移动违停抓拍）</w:t>
      </w:r>
    </w:p>
    <w:p w14:paraId="29FAA7F2">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drawing>
          <wp:inline distT="0" distB="0" distL="114300" distR="114300">
            <wp:extent cx="5264785" cy="3721735"/>
            <wp:effectExtent l="0" t="0" r="12065" b="12065"/>
            <wp:docPr id="7" name="图片 7" descr="塘厦镇鼎湖科技园周边道路安装交通信号灯、电子监控抓拍设备建设项目-平面图20260106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塘厦镇鼎湖科技园周边道路安装交通信号灯、电子监控抓拍设备建设项目-平面图20260106_页面_04"/>
                    <pic:cNvPicPr>
                      <a:picLocks noChangeAspect="1"/>
                    </pic:cNvPicPr>
                  </pic:nvPicPr>
                  <pic:blipFill>
                    <a:blip r:embed="rId6"/>
                    <a:stretch>
                      <a:fillRect/>
                    </a:stretch>
                  </pic:blipFill>
                  <pic:spPr>
                    <a:xfrm>
                      <a:off x="0" y="0"/>
                      <a:ext cx="5264785" cy="3721735"/>
                    </a:xfrm>
                    <a:prstGeom prst="rect">
                      <a:avLst/>
                    </a:prstGeom>
                  </pic:spPr>
                </pic:pic>
              </a:graphicData>
            </a:graphic>
          </wp:inline>
        </w:drawing>
      </w:r>
    </w:p>
    <w:p w14:paraId="45E0DB58">
      <w:pPr>
        <w:keepNext w:val="0"/>
        <w:keepLines w:val="0"/>
        <w:pageBreakBefore w:val="0"/>
        <w:numPr>
          <w:ilvl w:val="0"/>
          <w:numId w:val="1"/>
        </w:numPr>
        <w:kinsoku/>
        <w:wordWrap/>
        <w:overflowPunct/>
        <w:topLinePunct w:val="0"/>
        <w:autoSpaceDE/>
        <w:autoSpaceDN/>
        <w:bidi w:val="0"/>
        <w:spacing w:line="480" w:lineRule="exac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大坪规划三路气站路段（移动违停抓拍）</w:t>
      </w:r>
    </w:p>
    <w:p w14:paraId="387C9406">
      <w:pPr>
        <w:pStyle w:val="4"/>
        <w:rPr>
          <w:rFonts w:hint="eastAsia" w:ascii="宋体" w:hAnsi="宋体" w:eastAsia="宋体" w:cs="宋体"/>
          <w:sz w:val="24"/>
          <w:szCs w:val="24"/>
          <w:highlight w:val="none"/>
          <w:lang w:val="en-US" w:eastAsia="zh-CN"/>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sz w:val="24"/>
          <w:szCs w:val="24"/>
          <w:highlight w:val="none"/>
          <w:lang w:val="en-US" w:eastAsia="zh-CN"/>
        </w:rPr>
        <w:drawing>
          <wp:inline distT="0" distB="0" distL="114300" distR="114300">
            <wp:extent cx="5264785" cy="3721735"/>
            <wp:effectExtent l="0" t="0" r="12065" b="12065"/>
            <wp:docPr id="8" name="图片 8" descr="塘厦镇鼎湖科技园周边道路安装交通信号灯、电子监控抓拍设备建设项目-平面图20260106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塘厦镇鼎湖科技园周边道路安装交通信号灯、电子监控抓拍设备建设项目-平面图20260106_页面_05"/>
                    <pic:cNvPicPr>
                      <a:picLocks noChangeAspect="1"/>
                    </pic:cNvPicPr>
                  </pic:nvPicPr>
                  <pic:blipFill>
                    <a:blip r:embed="rId7"/>
                    <a:stretch>
                      <a:fillRect/>
                    </a:stretch>
                  </pic:blipFill>
                  <pic:spPr>
                    <a:xfrm>
                      <a:off x="0" y="0"/>
                      <a:ext cx="5264785" cy="3721735"/>
                    </a:xfrm>
                    <a:prstGeom prst="rect">
                      <a:avLst/>
                    </a:prstGeom>
                  </pic:spPr>
                </pic:pic>
              </a:graphicData>
            </a:graphic>
          </wp:inline>
        </w:drawing>
      </w:r>
    </w:p>
    <w:p w14:paraId="52B3C734">
      <w:pPr>
        <w:keepNext w:val="0"/>
        <w:keepLines w:val="0"/>
        <w:pageBreakBefore w:val="0"/>
        <w:numPr>
          <w:ilvl w:val="0"/>
          <w:numId w:val="1"/>
        </w:numPr>
        <w:kinsoku/>
        <w:wordWrap/>
        <w:overflowPunct/>
        <w:topLinePunct w:val="0"/>
        <w:autoSpaceDE/>
        <w:autoSpaceDN/>
        <w:bidi w:val="0"/>
        <w:spacing w:line="480" w:lineRule="exac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大坪规划三路路段（移动违停抓拍）</w:t>
      </w:r>
    </w:p>
    <w:p w14:paraId="1F1AE8CB">
      <w:pPr>
        <w:rPr>
          <w:rFonts w:hint="eastAsia"/>
          <w:lang w:val="en-US" w:eastAsia="zh-CN"/>
        </w:rPr>
      </w:pPr>
      <w:r>
        <w:rPr>
          <w:rFonts w:hint="eastAsia"/>
          <w:lang w:val="en-US" w:eastAsia="zh-CN"/>
        </w:rPr>
        <w:drawing>
          <wp:inline distT="0" distB="0" distL="114300" distR="114300">
            <wp:extent cx="5264785" cy="3721735"/>
            <wp:effectExtent l="0" t="0" r="12065" b="12065"/>
            <wp:docPr id="10" name="图片 10" descr="塘厦镇鼎湖科技园周边道路安装交通信号灯、电子监控抓拍设备建设项目-平面图20260106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塘厦镇鼎湖科技园周边道路安装交通信号灯、电子监控抓拍设备建设项目-平面图20260106_页面_06"/>
                    <pic:cNvPicPr>
                      <a:picLocks noChangeAspect="1"/>
                    </pic:cNvPicPr>
                  </pic:nvPicPr>
                  <pic:blipFill>
                    <a:blip r:embed="rId8"/>
                    <a:stretch>
                      <a:fillRect/>
                    </a:stretch>
                  </pic:blipFill>
                  <pic:spPr>
                    <a:xfrm>
                      <a:off x="0" y="0"/>
                      <a:ext cx="5264785" cy="3721735"/>
                    </a:xfrm>
                    <a:prstGeom prst="rect">
                      <a:avLst/>
                    </a:prstGeom>
                  </pic:spPr>
                </pic:pic>
              </a:graphicData>
            </a:graphic>
          </wp:inline>
        </w:drawing>
      </w:r>
    </w:p>
    <w:p w14:paraId="31239C3B">
      <w:pPr>
        <w:keepNext w:val="0"/>
        <w:keepLines w:val="0"/>
        <w:pageBreakBefore w:val="0"/>
        <w:numPr>
          <w:ilvl w:val="0"/>
          <w:numId w:val="1"/>
        </w:numPr>
        <w:kinsoku/>
        <w:wordWrap/>
        <w:overflowPunct/>
        <w:topLinePunct w:val="0"/>
        <w:autoSpaceDE/>
        <w:autoSpaceDN/>
        <w:bidi w:val="0"/>
        <w:spacing w:line="480" w:lineRule="exac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企洞路大坪公寓路段（移动违停抓拍）</w:t>
      </w:r>
    </w:p>
    <w:p w14:paraId="74BA07C5">
      <w:pPr>
        <w:pStyle w:val="4"/>
        <w:rPr>
          <w:rFonts w:hint="default" w:ascii="宋体" w:hAnsi="宋体" w:eastAsia="宋体" w:cs="宋体"/>
          <w:sz w:val="24"/>
          <w:szCs w:val="24"/>
          <w:highlight w:val="none"/>
          <w:lang w:val="en-US" w:eastAsia="zh-CN"/>
        </w:rPr>
        <w:sectPr>
          <w:pgSz w:w="11906" w:h="16838"/>
          <w:pgMar w:top="1440" w:right="1800" w:bottom="1440" w:left="1800" w:header="851" w:footer="992" w:gutter="0"/>
          <w:cols w:space="425" w:num="1"/>
          <w:docGrid w:type="lines" w:linePitch="312" w:charSpace="0"/>
        </w:sectPr>
      </w:pPr>
      <w:r>
        <w:rPr>
          <w:rFonts w:hint="default" w:ascii="宋体" w:hAnsi="宋体" w:eastAsia="宋体" w:cs="宋体"/>
          <w:sz w:val="24"/>
          <w:szCs w:val="24"/>
          <w:highlight w:val="none"/>
          <w:lang w:val="en-US" w:eastAsia="zh-CN"/>
        </w:rPr>
        <w:drawing>
          <wp:inline distT="0" distB="0" distL="114300" distR="114300">
            <wp:extent cx="5264150" cy="3721735"/>
            <wp:effectExtent l="0" t="0" r="12700" b="12065"/>
            <wp:docPr id="11" name="图片 11" descr="塘厦镇鼎湖科技园周边道路安装交通信号灯、电子监控抓拍设备建设项目-平面图20260106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塘厦镇鼎湖科技园周边道路安装交通信号灯、电子监控抓拍设备建设项目-平面图20260106_页面_07"/>
                    <pic:cNvPicPr>
                      <a:picLocks noChangeAspect="1"/>
                    </pic:cNvPicPr>
                  </pic:nvPicPr>
                  <pic:blipFill>
                    <a:blip r:embed="rId9"/>
                    <a:stretch>
                      <a:fillRect/>
                    </a:stretch>
                  </pic:blipFill>
                  <pic:spPr>
                    <a:xfrm>
                      <a:off x="0" y="0"/>
                      <a:ext cx="5264150" cy="3721735"/>
                    </a:xfrm>
                    <a:prstGeom prst="rect">
                      <a:avLst/>
                    </a:prstGeom>
                  </pic:spPr>
                </pic:pic>
              </a:graphicData>
            </a:graphic>
          </wp:inline>
        </w:drawing>
      </w:r>
    </w:p>
    <w:p w14:paraId="0B36BCF4">
      <w:pPr>
        <w:keepNext w:val="0"/>
        <w:keepLines w:val="0"/>
        <w:pageBreakBefore w:val="0"/>
        <w:numPr>
          <w:ilvl w:val="0"/>
          <w:numId w:val="1"/>
        </w:numPr>
        <w:kinsoku/>
        <w:wordWrap/>
        <w:overflowPunct/>
        <w:topLinePunct w:val="0"/>
        <w:autoSpaceDE/>
        <w:autoSpaceDN/>
        <w:bidi w:val="0"/>
        <w:spacing w:line="480" w:lineRule="exac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企洞路鼎湖科技路段（移动违停抓拍）</w:t>
      </w:r>
    </w:p>
    <w:p w14:paraId="29E2BAC3">
      <w:pPr>
        <w:rPr>
          <w:rFonts w:hint="eastAsia"/>
          <w:lang w:val="en-US" w:eastAsia="zh-CN"/>
        </w:rPr>
      </w:pPr>
      <w:r>
        <w:rPr>
          <w:rFonts w:hint="eastAsia"/>
          <w:lang w:val="en-US" w:eastAsia="zh-CN"/>
        </w:rPr>
        <w:drawing>
          <wp:inline distT="0" distB="0" distL="114300" distR="114300">
            <wp:extent cx="5264150" cy="3721735"/>
            <wp:effectExtent l="0" t="0" r="12700" b="12065"/>
            <wp:docPr id="12" name="图片 12" descr="塘厦镇鼎湖科技园周边道路安装交通信号灯、电子监控抓拍设备建设项目-平面图20260106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塘厦镇鼎湖科技园周边道路安装交通信号灯、电子监控抓拍设备建设项目-平面图20260106_页面_08"/>
                    <pic:cNvPicPr>
                      <a:picLocks noChangeAspect="1"/>
                    </pic:cNvPicPr>
                  </pic:nvPicPr>
                  <pic:blipFill>
                    <a:blip r:embed="rId10"/>
                    <a:stretch>
                      <a:fillRect/>
                    </a:stretch>
                  </pic:blipFill>
                  <pic:spPr>
                    <a:xfrm>
                      <a:off x="0" y="0"/>
                      <a:ext cx="5264150" cy="3721735"/>
                    </a:xfrm>
                    <a:prstGeom prst="rect">
                      <a:avLst/>
                    </a:prstGeom>
                  </pic:spPr>
                </pic:pic>
              </a:graphicData>
            </a:graphic>
          </wp:inline>
        </w:drawing>
      </w:r>
    </w:p>
    <w:p w14:paraId="248975DE">
      <w:pPr>
        <w:keepNext w:val="0"/>
        <w:keepLines w:val="0"/>
        <w:pageBreakBefore w:val="0"/>
        <w:numPr>
          <w:ilvl w:val="0"/>
          <w:numId w:val="1"/>
        </w:numPr>
        <w:kinsoku/>
        <w:wordWrap/>
        <w:overflowPunct/>
        <w:topLinePunct w:val="0"/>
        <w:autoSpaceDE/>
        <w:autoSpaceDN/>
        <w:bidi w:val="0"/>
        <w:spacing w:line="480" w:lineRule="exac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富民路大坪公寓门口路段（移动违停抓拍）</w:t>
      </w:r>
    </w:p>
    <w:p w14:paraId="5EEE0523">
      <w:pPr>
        <w:pStyle w:val="4"/>
        <w:rPr>
          <w:rFonts w:hint="eastAsia" w:ascii="宋体" w:hAnsi="宋体" w:eastAsia="宋体" w:cs="宋体"/>
          <w:sz w:val="24"/>
          <w:szCs w:val="24"/>
          <w:highlight w:val="none"/>
          <w:lang w:val="en-US" w:eastAsia="zh-CN"/>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sz w:val="24"/>
          <w:szCs w:val="24"/>
          <w:highlight w:val="none"/>
          <w:lang w:val="en-US" w:eastAsia="zh-CN"/>
        </w:rPr>
        <w:drawing>
          <wp:inline distT="0" distB="0" distL="114300" distR="114300">
            <wp:extent cx="5264785" cy="3721735"/>
            <wp:effectExtent l="0" t="0" r="12065" b="12065"/>
            <wp:docPr id="13" name="图片 13" descr="塘厦镇鼎湖科技园周边道路安装交通信号灯、电子监控抓拍设备建设项目-平面图20260106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塘厦镇鼎湖科技园周边道路安装交通信号灯、电子监控抓拍设备建设项目-平面图20260106_页面_09"/>
                    <pic:cNvPicPr>
                      <a:picLocks noChangeAspect="1"/>
                    </pic:cNvPicPr>
                  </pic:nvPicPr>
                  <pic:blipFill>
                    <a:blip r:embed="rId11"/>
                    <a:stretch>
                      <a:fillRect/>
                    </a:stretch>
                  </pic:blipFill>
                  <pic:spPr>
                    <a:xfrm>
                      <a:off x="0" y="0"/>
                      <a:ext cx="5264785" cy="3721735"/>
                    </a:xfrm>
                    <a:prstGeom prst="rect">
                      <a:avLst/>
                    </a:prstGeom>
                  </pic:spPr>
                </pic:pic>
              </a:graphicData>
            </a:graphic>
          </wp:inline>
        </w:drawing>
      </w:r>
    </w:p>
    <w:p w14:paraId="0DBD7201">
      <w:pPr>
        <w:keepNext w:val="0"/>
        <w:keepLines w:val="0"/>
        <w:pageBreakBefore w:val="0"/>
        <w:numPr>
          <w:ilvl w:val="0"/>
          <w:numId w:val="1"/>
        </w:numPr>
        <w:kinsoku/>
        <w:wordWrap/>
        <w:overflowPunct/>
        <w:topLinePunct w:val="0"/>
        <w:autoSpaceDE/>
        <w:autoSpaceDN/>
        <w:bidi w:val="0"/>
        <w:spacing w:line="480" w:lineRule="exac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科苑大道北2号门路段（移动违停抓拍）</w:t>
      </w:r>
    </w:p>
    <w:p w14:paraId="69FE8D46">
      <w:pPr>
        <w:rPr>
          <w:rFonts w:hint="eastAsia"/>
          <w:lang w:val="en-US" w:eastAsia="zh-CN"/>
        </w:rPr>
      </w:pPr>
      <w:r>
        <w:rPr>
          <w:rFonts w:hint="eastAsia"/>
          <w:lang w:val="en-US" w:eastAsia="zh-CN"/>
        </w:rPr>
        <w:drawing>
          <wp:inline distT="0" distB="0" distL="114300" distR="114300">
            <wp:extent cx="5264785" cy="3721735"/>
            <wp:effectExtent l="0" t="0" r="12065" b="12065"/>
            <wp:docPr id="14" name="图片 14" descr="塘厦镇鼎湖科技园周边道路安装交通信号灯、电子监控抓拍设备建设项目-平面图20260106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塘厦镇鼎湖科技园周边道路安装交通信号灯、电子监控抓拍设备建设项目-平面图20260106_页面_10"/>
                    <pic:cNvPicPr>
                      <a:picLocks noChangeAspect="1"/>
                    </pic:cNvPicPr>
                  </pic:nvPicPr>
                  <pic:blipFill>
                    <a:blip r:embed="rId12"/>
                    <a:stretch>
                      <a:fillRect/>
                    </a:stretch>
                  </pic:blipFill>
                  <pic:spPr>
                    <a:xfrm>
                      <a:off x="0" y="0"/>
                      <a:ext cx="5264785" cy="3721735"/>
                    </a:xfrm>
                    <a:prstGeom prst="rect">
                      <a:avLst/>
                    </a:prstGeom>
                  </pic:spPr>
                </pic:pic>
              </a:graphicData>
            </a:graphic>
          </wp:inline>
        </w:drawing>
      </w:r>
    </w:p>
    <w:p w14:paraId="5CDE6594">
      <w:pPr>
        <w:keepNext w:val="0"/>
        <w:keepLines w:val="0"/>
        <w:pageBreakBefore w:val="0"/>
        <w:numPr>
          <w:ilvl w:val="0"/>
          <w:numId w:val="1"/>
        </w:numPr>
        <w:kinsoku/>
        <w:wordWrap/>
        <w:overflowPunct/>
        <w:topLinePunct w:val="0"/>
        <w:autoSpaceDE/>
        <w:autoSpaceDN/>
        <w:bidi w:val="0"/>
        <w:spacing w:line="480" w:lineRule="exac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科苑大道路段（移动违停抓拍）</w:t>
      </w:r>
    </w:p>
    <w:p w14:paraId="3FCC60DD">
      <w:pPr>
        <w:pStyle w:val="4"/>
        <w:rPr>
          <w:rFonts w:hint="eastAsia" w:ascii="宋体" w:hAnsi="宋体" w:eastAsia="宋体" w:cs="宋体"/>
          <w:sz w:val="24"/>
          <w:szCs w:val="24"/>
          <w:highlight w:val="none"/>
          <w:lang w:val="en-US" w:eastAsia="zh-CN"/>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sz w:val="24"/>
          <w:szCs w:val="24"/>
          <w:highlight w:val="none"/>
          <w:lang w:val="en-US" w:eastAsia="zh-CN"/>
        </w:rPr>
        <w:drawing>
          <wp:inline distT="0" distB="0" distL="114300" distR="114300">
            <wp:extent cx="5264785" cy="3721735"/>
            <wp:effectExtent l="0" t="0" r="12065" b="12065"/>
            <wp:docPr id="15" name="图片 15" descr="塘厦镇鼎湖科技园周边道路安装交通信号灯、电子监控抓拍设备建设项目-平面图20260106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塘厦镇鼎湖科技园周边道路安装交通信号灯、电子监控抓拍设备建设项目-平面图20260106_页面_11"/>
                    <pic:cNvPicPr>
                      <a:picLocks noChangeAspect="1"/>
                    </pic:cNvPicPr>
                  </pic:nvPicPr>
                  <pic:blipFill>
                    <a:blip r:embed="rId13"/>
                    <a:stretch>
                      <a:fillRect/>
                    </a:stretch>
                  </pic:blipFill>
                  <pic:spPr>
                    <a:xfrm>
                      <a:off x="0" y="0"/>
                      <a:ext cx="5264785" cy="3721735"/>
                    </a:xfrm>
                    <a:prstGeom prst="rect">
                      <a:avLst/>
                    </a:prstGeom>
                  </pic:spPr>
                </pic:pic>
              </a:graphicData>
            </a:graphic>
          </wp:inline>
        </w:drawing>
      </w:r>
    </w:p>
    <w:p w14:paraId="79349B06">
      <w:pPr>
        <w:keepNext w:val="0"/>
        <w:keepLines w:val="0"/>
        <w:pageBreakBefore w:val="0"/>
        <w:numPr>
          <w:ilvl w:val="0"/>
          <w:numId w:val="1"/>
        </w:numPr>
        <w:kinsoku/>
        <w:wordWrap/>
        <w:overflowPunct/>
        <w:topLinePunct w:val="0"/>
        <w:autoSpaceDE/>
        <w:autoSpaceDN/>
        <w:bidi w:val="0"/>
        <w:spacing w:line="480" w:lineRule="exac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科苑大道北7号门路段（移动违停抓拍）</w:t>
      </w:r>
    </w:p>
    <w:p w14:paraId="79CBD55F">
      <w:pPr>
        <w:rPr>
          <w:rFonts w:hint="eastAsia"/>
          <w:lang w:val="en-US" w:eastAsia="zh-CN"/>
        </w:rPr>
      </w:pPr>
      <w:r>
        <w:rPr>
          <w:rFonts w:hint="eastAsia"/>
          <w:lang w:val="en-US" w:eastAsia="zh-CN"/>
        </w:rPr>
        <w:drawing>
          <wp:inline distT="0" distB="0" distL="114300" distR="114300">
            <wp:extent cx="5264785" cy="3721735"/>
            <wp:effectExtent l="0" t="0" r="12065" b="12065"/>
            <wp:docPr id="16" name="图片 16" descr="塘厦镇鼎湖科技园周边道路安装交通信号灯、电子监控抓拍设备建设项目-平面图20260106_页面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塘厦镇鼎湖科技园周边道路安装交通信号灯、电子监控抓拍设备建设项目-平面图20260106_页面_12"/>
                    <pic:cNvPicPr>
                      <a:picLocks noChangeAspect="1"/>
                    </pic:cNvPicPr>
                  </pic:nvPicPr>
                  <pic:blipFill>
                    <a:blip r:embed="rId14"/>
                    <a:stretch>
                      <a:fillRect/>
                    </a:stretch>
                  </pic:blipFill>
                  <pic:spPr>
                    <a:xfrm>
                      <a:off x="0" y="0"/>
                      <a:ext cx="5264785" cy="3721735"/>
                    </a:xfrm>
                    <a:prstGeom prst="rect">
                      <a:avLst/>
                    </a:prstGeom>
                  </pic:spPr>
                </pic:pic>
              </a:graphicData>
            </a:graphic>
          </wp:inline>
        </w:drawing>
      </w:r>
    </w:p>
    <w:p w14:paraId="5A8B1C0C">
      <w:pPr>
        <w:keepNext w:val="0"/>
        <w:keepLines w:val="0"/>
        <w:pageBreakBefore w:val="0"/>
        <w:numPr>
          <w:ilvl w:val="0"/>
          <w:numId w:val="1"/>
        </w:numPr>
        <w:kinsoku/>
        <w:wordWrap/>
        <w:overflowPunct/>
        <w:topLinePunct w:val="0"/>
        <w:autoSpaceDE/>
        <w:autoSpaceDN/>
        <w:bidi w:val="0"/>
        <w:spacing w:line="480" w:lineRule="exac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苑中路南4号门路段（移动违停抓拍）</w:t>
      </w:r>
    </w:p>
    <w:p w14:paraId="33FD454A">
      <w:pPr>
        <w:pStyle w:val="4"/>
        <w:rPr>
          <w:rFonts w:hint="eastAsia" w:ascii="宋体" w:hAnsi="宋体" w:eastAsia="宋体" w:cs="宋体"/>
          <w:sz w:val="24"/>
          <w:szCs w:val="24"/>
          <w:highlight w:val="none"/>
          <w:lang w:val="en-US" w:eastAsia="zh-CN"/>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sz w:val="24"/>
          <w:szCs w:val="24"/>
          <w:highlight w:val="none"/>
          <w:lang w:val="en-US" w:eastAsia="zh-CN"/>
        </w:rPr>
        <w:drawing>
          <wp:inline distT="0" distB="0" distL="114300" distR="114300">
            <wp:extent cx="5264785" cy="3721735"/>
            <wp:effectExtent l="0" t="0" r="12065" b="12065"/>
            <wp:docPr id="17" name="图片 17" descr="塘厦镇鼎湖科技园周边道路安装交通信号灯、电子监控抓拍设备建设项目-平面图20260106_页面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塘厦镇鼎湖科技园周边道路安装交通信号灯、电子监控抓拍设备建设项目-平面图20260106_页面_13"/>
                    <pic:cNvPicPr>
                      <a:picLocks noChangeAspect="1"/>
                    </pic:cNvPicPr>
                  </pic:nvPicPr>
                  <pic:blipFill>
                    <a:blip r:embed="rId15"/>
                    <a:stretch>
                      <a:fillRect/>
                    </a:stretch>
                  </pic:blipFill>
                  <pic:spPr>
                    <a:xfrm>
                      <a:off x="0" y="0"/>
                      <a:ext cx="5264785" cy="3721735"/>
                    </a:xfrm>
                    <a:prstGeom prst="rect">
                      <a:avLst/>
                    </a:prstGeom>
                  </pic:spPr>
                </pic:pic>
              </a:graphicData>
            </a:graphic>
          </wp:inline>
        </w:drawing>
      </w:r>
    </w:p>
    <w:p w14:paraId="38A86BCD">
      <w:pPr>
        <w:keepNext w:val="0"/>
        <w:keepLines w:val="0"/>
        <w:pageBreakBefore w:val="0"/>
        <w:numPr>
          <w:ilvl w:val="0"/>
          <w:numId w:val="1"/>
        </w:numPr>
        <w:kinsoku/>
        <w:wordWrap/>
        <w:overflowPunct/>
        <w:topLinePunct w:val="0"/>
        <w:autoSpaceDE/>
        <w:autoSpaceDN/>
        <w:bidi w:val="0"/>
        <w:spacing w:line="480" w:lineRule="exac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林坪路富民路交叉口（移动违停抓拍）</w:t>
      </w:r>
    </w:p>
    <w:p w14:paraId="00642B55">
      <w:pPr>
        <w:rPr>
          <w:rFonts w:hint="eastAsia"/>
          <w:lang w:val="en-US" w:eastAsia="zh-CN"/>
        </w:rPr>
      </w:pPr>
      <w:r>
        <w:rPr>
          <w:rFonts w:hint="eastAsia"/>
          <w:lang w:val="en-US" w:eastAsia="zh-CN"/>
        </w:rPr>
        <w:drawing>
          <wp:inline distT="0" distB="0" distL="114300" distR="114300">
            <wp:extent cx="5264785" cy="3721735"/>
            <wp:effectExtent l="0" t="0" r="12065" b="12065"/>
            <wp:docPr id="18" name="图片 18" descr="塘厦镇鼎湖科技园周边道路安装交通信号灯、电子监控抓拍设备建设项目-平面图20260106_页面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塘厦镇鼎湖科技园周边道路安装交通信号灯、电子监控抓拍设备建设项目-平面图20260106_页面_14"/>
                    <pic:cNvPicPr>
                      <a:picLocks noChangeAspect="1"/>
                    </pic:cNvPicPr>
                  </pic:nvPicPr>
                  <pic:blipFill>
                    <a:blip r:embed="rId16"/>
                    <a:stretch>
                      <a:fillRect/>
                    </a:stretch>
                  </pic:blipFill>
                  <pic:spPr>
                    <a:xfrm>
                      <a:off x="0" y="0"/>
                      <a:ext cx="5264785" cy="3721735"/>
                    </a:xfrm>
                    <a:prstGeom prst="rect">
                      <a:avLst/>
                    </a:prstGeom>
                  </pic:spPr>
                </pic:pic>
              </a:graphicData>
            </a:graphic>
          </wp:inline>
        </w:drawing>
      </w:r>
    </w:p>
    <w:p w14:paraId="2334B716">
      <w:pPr>
        <w:keepNext w:val="0"/>
        <w:keepLines w:val="0"/>
        <w:pageBreakBefore w:val="0"/>
        <w:numPr>
          <w:ilvl w:val="0"/>
          <w:numId w:val="1"/>
        </w:numPr>
        <w:kinsoku/>
        <w:wordWrap/>
        <w:overflowPunct/>
        <w:topLinePunct w:val="0"/>
        <w:autoSpaceDE/>
        <w:autoSpaceDN/>
        <w:bidi w:val="0"/>
        <w:spacing w:line="480" w:lineRule="exac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林坪路企洞路交叉口（移动违停抓拍）</w:t>
      </w:r>
    </w:p>
    <w:p w14:paraId="7E3FE50A">
      <w:pPr>
        <w:pStyle w:val="4"/>
        <w:rPr>
          <w:rFonts w:hint="eastAsia" w:ascii="宋体" w:hAnsi="宋体" w:eastAsia="宋体" w:cs="宋体"/>
          <w:sz w:val="24"/>
          <w:szCs w:val="24"/>
          <w:highlight w:val="none"/>
          <w:lang w:val="en-US" w:eastAsia="zh-CN"/>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sz w:val="24"/>
          <w:szCs w:val="24"/>
          <w:highlight w:val="none"/>
          <w:lang w:val="en-US" w:eastAsia="zh-CN"/>
        </w:rPr>
        <w:drawing>
          <wp:inline distT="0" distB="0" distL="114300" distR="114300">
            <wp:extent cx="5264785" cy="3721735"/>
            <wp:effectExtent l="0" t="0" r="12065" b="12065"/>
            <wp:docPr id="19" name="图片 19" descr="塘厦镇鼎湖科技园周边道路安装交通信号灯、电子监控抓拍设备建设项目-平面图20260106_页面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塘厦镇鼎湖科技园周边道路安装交通信号灯、电子监控抓拍设备建设项目-平面图20260106_页面_15"/>
                    <pic:cNvPicPr>
                      <a:picLocks noChangeAspect="1"/>
                    </pic:cNvPicPr>
                  </pic:nvPicPr>
                  <pic:blipFill>
                    <a:blip r:embed="rId17"/>
                    <a:stretch>
                      <a:fillRect/>
                    </a:stretch>
                  </pic:blipFill>
                  <pic:spPr>
                    <a:xfrm>
                      <a:off x="0" y="0"/>
                      <a:ext cx="5264785" cy="3721735"/>
                    </a:xfrm>
                    <a:prstGeom prst="rect">
                      <a:avLst/>
                    </a:prstGeom>
                  </pic:spPr>
                </pic:pic>
              </a:graphicData>
            </a:graphic>
          </wp:inline>
        </w:drawing>
      </w:r>
    </w:p>
    <w:p w14:paraId="2CCF3266">
      <w:pPr>
        <w:keepNext w:val="0"/>
        <w:keepLines w:val="0"/>
        <w:pageBreakBefore w:val="0"/>
        <w:numPr>
          <w:ilvl w:val="0"/>
          <w:numId w:val="1"/>
        </w:numPr>
        <w:kinsoku/>
        <w:wordWrap/>
        <w:overflowPunct/>
        <w:topLinePunct w:val="0"/>
        <w:autoSpaceDE/>
        <w:autoSpaceDN/>
        <w:bidi w:val="0"/>
        <w:spacing w:line="480" w:lineRule="exac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四黎南路林坪路交叉口（移动违停抓拍）</w:t>
      </w:r>
    </w:p>
    <w:p w14:paraId="0F0301E6">
      <w:pPr>
        <w:rPr>
          <w:rFonts w:hint="eastAsia"/>
          <w:lang w:val="en-US" w:eastAsia="zh-CN"/>
        </w:rPr>
      </w:pPr>
      <w:r>
        <w:rPr>
          <w:rFonts w:hint="eastAsia"/>
          <w:lang w:val="en-US" w:eastAsia="zh-CN"/>
        </w:rPr>
        <w:drawing>
          <wp:inline distT="0" distB="0" distL="114300" distR="114300">
            <wp:extent cx="5264785" cy="3721735"/>
            <wp:effectExtent l="0" t="0" r="12065" b="12065"/>
            <wp:docPr id="20" name="图片 20" descr="塘厦镇鼎湖科技园周边道路安装交通信号灯、电子监控抓拍设备建设项目-平面图20260106_页面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塘厦镇鼎湖科技园周边道路安装交通信号灯、电子监控抓拍设备建设项目-平面图20260106_页面_16"/>
                    <pic:cNvPicPr>
                      <a:picLocks noChangeAspect="1"/>
                    </pic:cNvPicPr>
                  </pic:nvPicPr>
                  <pic:blipFill>
                    <a:blip r:embed="rId18"/>
                    <a:stretch>
                      <a:fillRect/>
                    </a:stretch>
                  </pic:blipFill>
                  <pic:spPr>
                    <a:xfrm>
                      <a:off x="0" y="0"/>
                      <a:ext cx="5264785" cy="3721735"/>
                    </a:xfrm>
                    <a:prstGeom prst="rect">
                      <a:avLst/>
                    </a:prstGeom>
                  </pic:spPr>
                </pic:pic>
              </a:graphicData>
            </a:graphic>
          </wp:inline>
        </w:drawing>
      </w:r>
    </w:p>
    <w:p w14:paraId="2E98E558">
      <w:pPr>
        <w:keepNext w:val="0"/>
        <w:keepLines w:val="0"/>
        <w:pageBreakBefore w:val="0"/>
        <w:numPr>
          <w:ilvl w:val="0"/>
          <w:numId w:val="1"/>
        </w:numPr>
        <w:kinsoku/>
        <w:wordWrap/>
        <w:overflowPunct/>
        <w:topLinePunct w:val="0"/>
        <w:autoSpaceDE/>
        <w:autoSpaceDN/>
        <w:bidi w:val="0"/>
        <w:spacing w:line="480" w:lineRule="exac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四黎南路大冚路路段（移动违停抓拍）</w:t>
      </w:r>
    </w:p>
    <w:p w14:paraId="63D355E4">
      <w:pPr>
        <w:pStyle w:val="4"/>
        <w:rPr>
          <w:rFonts w:hint="eastAsia" w:ascii="宋体" w:hAnsi="宋体" w:eastAsia="宋体" w:cs="宋体"/>
          <w:sz w:val="24"/>
          <w:szCs w:val="24"/>
          <w:highlight w:val="none"/>
          <w:lang w:val="en-US" w:eastAsia="zh-CN"/>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sz w:val="24"/>
          <w:szCs w:val="24"/>
          <w:highlight w:val="none"/>
          <w:lang w:val="en-US" w:eastAsia="zh-CN"/>
        </w:rPr>
        <w:drawing>
          <wp:inline distT="0" distB="0" distL="114300" distR="114300">
            <wp:extent cx="5264150" cy="3721735"/>
            <wp:effectExtent l="0" t="0" r="12700" b="12065"/>
            <wp:docPr id="21" name="图片 21" descr="塘厦镇鼎湖科技园周边道路安装交通信号灯、电子监控抓拍设备建设项目-平面图20260106_页面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塘厦镇鼎湖科技园周边道路安装交通信号灯、电子监控抓拍设备建设项目-平面图20260106_页面_17"/>
                    <pic:cNvPicPr>
                      <a:picLocks noChangeAspect="1"/>
                    </pic:cNvPicPr>
                  </pic:nvPicPr>
                  <pic:blipFill>
                    <a:blip r:embed="rId19"/>
                    <a:stretch>
                      <a:fillRect/>
                    </a:stretch>
                  </pic:blipFill>
                  <pic:spPr>
                    <a:xfrm>
                      <a:off x="0" y="0"/>
                      <a:ext cx="5264150" cy="3721735"/>
                    </a:xfrm>
                    <a:prstGeom prst="rect">
                      <a:avLst/>
                    </a:prstGeom>
                  </pic:spPr>
                </pic:pic>
              </a:graphicData>
            </a:graphic>
          </wp:inline>
        </w:drawing>
      </w:r>
    </w:p>
    <w:p w14:paraId="5031D70D">
      <w:pPr>
        <w:keepNext w:val="0"/>
        <w:keepLines w:val="0"/>
        <w:pageBreakBefore w:val="0"/>
        <w:numPr>
          <w:ilvl w:val="0"/>
          <w:numId w:val="1"/>
        </w:numPr>
        <w:kinsoku/>
        <w:wordWrap/>
        <w:overflowPunct/>
        <w:topLinePunct w:val="0"/>
        <w:autoSpaceDE/>
        <w:autoSpaceDN/>
        <w:bidi w:val="0"/>
        <w:spacing w:line="480" w:lineRule="exac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四黎南路淡塘路路段（移动违停抓拍）</w:t>
      </w:r>
    </w:p>
    <w:p w14:paraId="4E193BE2">
      <w:pPr>
        <w:rPr>
          <w:rFonts w:hint="eastAsia"/>
          <w:lang w:val="en-US" w:eastAsia="zh-CN"/>
        </w:rPr>
      </w:pPr>
      <w:r>
        <w:rPr>
          <w:rFonts w:hint="eastAsia"/>
          <w:lang w:val="en-US" w:eastAsia="zh-CN"/>
        </w:rPr>
        <w:drawing>
          <wp:inline distT="0" distB="0" distL="114300" distR="114300">
            <wp:extent cx="5264150" cy="3721735"/>
            <wp:effectExtent l="0" t="0" r="12700" b="12065"/>
            <wp:docPr id="22" name="图片 22" descr="塘厦镇鼎湖科技园周边道路安装交通信号灯、电子监控抓拍设备建设项目-平面图20260106_页面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塘厦镇鼎湖科技园周边道路安装交通信号灯、电子监控抓拍设备建设项目-平面图20260106_页面_18"/>
                    <pic:cNvPicPr>
                      <a:picLocks noChangeAspect="1"/>
                    </pic:cNvPicPr>
                  </pic:nvPicPr>
                  <pic:blipFill>
                    <a:blip r:embed="rId20"/>
                    <a:stretch>
                      <a:fillRect/>
                    </a:stretch>
                  </pic:blipFill>
                  <pic:spPr>
                    <a:xfrm>
                      <a:off x="0" y="0"/>
                      <a:ext cx="5264150" cy="3721735"/>
                    </a:xfrm>
                    <a:prstGeom prst="rect">
                      <a:avLst/>
                    </a:prstGeom>
                  </pic:spPr>
                </pic:pic>
              </a:graphicData>
            </a:graphic>
          </wp:inline>
        </w:drawing>
      </w:r>
    </w:p>
    <w:p w14:paraId="58EFCC65">
      <w:pPr>
        <w:keepNext w:val="0"/>
        <w:keepLines w:val="0"/>
        <w:pageBreakBefore w:val="0"/>
        <w:numPr>
          <w:ilvl w:val="0"/>
          <w:numId w:val="1"/>
        </w:numPr>
        <w:kinsoku/>
        <w:wordWrap/>
        <w:overflowPunct/>
        <w:topLinePunct w:val="0"/>
        <w:autoSpaceDE/>
        <w:autoSpaceDN/>
        <w:bidi w:val="0"/>
        <w:spacing w:line="480" w:lineRule="exac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四黎南路黎园坑路路段（移动违停抓拍）</w:t>
      </w:r>
    </w:p>
    <w:p w14:paraId="06E4E0FE">
      <w:pPr>
        <w:pStyle w:val="4"/>
        <w:rPr>
          <w:rFonts w:hint="eastAsia" w:ascii="宋体" w:hAnsi="宋体" w:eastAsia="宋体" w:cs="宋体"/>
          <w:sz w:val="24"/>
          <w:szCs w:val="24"/>
          <w:highlight w:val="none"/>
          <w:lang w:val="en-US" w:eastAsia="zh-CN"/>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sz w:val="24"/>
          <w:szCs w:val="24"/>
          <w:highlight w:val="none"/>
          <w:lang w:val="en-US" w:eastAsia="zh-CN"/>
        </w:rPr>
        <w:drawing>
          <wp:inline distT="0" distB="0" distL="114300" distR="114300">
            <wp:extent cx="5264150" cy="3721735"/>
            <wp:effectExtent l="0" t="0" r="12700" b="12065"/>
            <wp:docPr id="23" name="图片 23" descr="塘厦镇鼎湖科技园周边道路安装交通信号灯、电子监控抓拍设备建设项目-平面图20260106_页面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塘厦镇鼎湖科技园周边道路安装交通信号灯、电子监控抓拍设备建设项目-平面图20260106_页面_19"/>
                    <pic:cNvPicPr>
                      <a:picLocks noChangeAspect="1"/>
                    </pic:cNvPicPr>
                  </pic:nvPicPr>
                  <pic:blipFill>
                    <a:blip r:embed="rId21"/>
                    <a:stretch>
                      <a:fillRect/>
                    </a:stretch>
                  </pic:blipFill>
                  <pic:spPr>
                    <a:xfrm>
                      <a:off x="0" y="0"/>
                      <a:ext cx="5264150" cy="3721735"/>
                    </a:xfrm>
                    <a:prstGeom prst="rect">
                      <a:avLst/>
                    </a:prstGeom>
                  </pic:spPr>
                </pic:pic>
              </a:graphicData>
            </a:graphic>
          </wp:inline>
        </w:drawing>
      </w:r>
    </w:p>
    <w:p w14:paraId="348E088E">
      <w:pPr>
        <w:keepNext w:val="0"/>
        <w:keepLines w:val="0"/>
        <w:pageBreakBefore w:val="0"/>
        <w:numPr>
          <w:ilvl w:val="0"/>
          <w:numId w:val="1"/>
        </w:numPr>
        <w:kinsoku/>
        <w:wordWrap/>
        <w:overflowPunct/>
        <w:topLinePunct w:val="0"/>
        <w:autoSpaceDE/>
        <w:autoSpaceDN/>
        <w:bidi w:val="0"/>
        <w:spacing w:line="480" w:lineRule="exac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四黎南路莆卢坑路路段（移动违停抓拍）</w:t>
      </w:r>
    </w:p>
    <w:p w14:paraId="55BE50F3">
      <w:pPr>
        <w:rPr>
          <w:rFonts w:hint="eastAsia"/>
          <w:lang w:val="en-US" w:eastAsia="zh-CN"/>
        </w:rPr>
      </w:pPr>
      <w:r>
        <w:rPr>
          <w:rFonts w:hint="eastAsia"/>
          <w:lang w:val="en-US" w:eastAsia="zh-CN"/>
        </w:rPr>
        <w:drawing>
          <wp:inline distT="0" distB="0" distL="114300" distR="114300">
            <wp:extent cx="5264150" cy="3721735"/>
            <wp:effectExtent l="0" t="0" r="12700" b="12065"/>
            <wp:docPr id="24" name="图片 24" descr="塘厦镇鼎湖科技园周边道路安装交通信号灯、电子监控抓拍设备建设项目-平面图20260106_页面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塘厦镇鼎湖科技园周边道路安装交通信号灯、电子监控抓拍设备建设项目-平面图20260106_页面_20"/>
                    <pic:cNvPicPr>
                      <a:picLocks noChangeAspect="1"/>
                    </pic:cNvPicPr>
                  </pic:nvPicPr>
                  <pic:blipFill>
                    <a:blip r:embed="rId22"/>
                    <a:stretch>
                      <a:fillRect/>
                    </a:stretch>
                  </pic:blipFill>
                  <pic:spPr>
                    <a:xfrm>
                      <a:off x="0" y="0"/>
                      <a:ext cx="5264150" cy="3721735"/>
                    </a:xfrm>
                    <a:prstGeom prst="rect">
                      <a:avLst/>
                    </a:prstGeom>
                  </pic:spPr>
                </pic:pic>
              </a:graphicData>
            </a:graphic>
          </wp:inline>
        </w:drawing>
      </w:r>
    </w:p>
    <w:p w14:paraId="79CBA5E8">
      <w:pPr>
        <w:keepNext w:val="0"/>
        <w:keepLines w:val="0"/>
        <w:pageBreakBefore w:val="0"/>
        <w:numPr>
          <w:ilvl w:val="0"/>
          <w:numId w:val="1"/>
        </w:numPr>
        <w:kinsoku/>
        <w:wordWrap/>
        <w:overflowPunct/>
        <w:topLinePunct w:val="0"/>
        <w:autoSpaceDE/>
        <w:autoSpaceDN/>
        <w:bidi w:val="0"/>
        <w:spacing w:line="480" w:lineRule="exac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四黎南路兴业街路段（移动违停抓拍）</w:t>
      </w:r>
    </w:p>
    <w:p w14:paraId="16008F54">
      <w:pPr>
        <w:pStyle w:val="4"/>
        <w:rPr>
          <w:rFonts w:hint="default" w:ascii="仿宋" w:hAnsi="仿宋" w:eastAsia="仿宋" w:cs="仿宋"/>
          <w:sz w:val="24"/>
          <w:szCs w:val="24"/>
          <w:highlight w:val="none"/>
          <w:lang w:val="en-US" w:eastAsia="zh-CN"/>
        </w:rPr>
      </w:pPr>
      <w:r>
        <w:rPr>
          <w:rFonts w:hint="default" w:ascii="仿宋" w:hAnsi="仿宋" w:eastAsia="仿宋" w:cs="仿宋"/>
          <w:sz w:val="24"/>
          <w:szCs w:val="24"/>
          <w:highlight w:val="none"/>
          <w:lang w:val="en-US" w:eastAsia="zh-CN"/>
        </w:rPr>
        <w:drawing>
          <wp:inline distT="0" distB="0" distL="114300" distR="114300">
            <wp:extent cx="5264150" cy="3721735"/>
            <wp:effectExtent l="0" t="0" r="12700" b="12065"/>
            <wp:docPr id="25" name="图片 25" descr="塘厦镇鼎湖科技园周边道路安装交通信号灯、电子监控抓拍设备建设项目-平面图20260106_页面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塘厦镇鼎湖科技园周边道路安装交通信号灯、电子监控抓拍设备建设项目-平面图20260106_页面_21"/>
                    <pic:cNvPicPr>
                      <a:picLocks noChangeAspect="1"/>
                    </pic:cNvPicPr>
                  </pic:nvPicPr>
                  <pic:blipFill>
                    <a:blip r:embed="rId23"/>
                    <a:stretch>
                      <a:fillRect/>
                    </a:stretch>
                  </pic:blipFill>
                  <pic:spPr>
                    <a:xfrm>
                      <a:off x="0" y="0"/>
                      <a:ext cx="5264150" cy="3721735"/>
                    </a:xfrm>
                    <a:prstGeom prst="rect">
                      <a:avLst/>
                    </a:prstGeom>
                  </pic:spPr>
                </pic:pic>
              </a:graphicData>
            </a:graphic>
          </wp:inline>
        </w:drawing>
      </w:r>
    </w:p>
    <w:p w14:paraId="6B5467E8">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rPr>
      </w:pPr>
    </w:p>
    <w:bookmarkEnd w:id="2"/>
    <w:p w14:paraId="040B8ACA">
      <w:pPr>
        <w:keepNext w:val="0"/>
        <w:keepLines w:val="0"/>
        <w:pageBreakBefore w:val="0"/>
        <w:numPr>
          <w:ilvl w:val="0"/>
          <w:numId w:val="0"/>
        </w:numPr>
        <w:kinsoku/>
        <w:wordWrap/>
        <w:overflowPunct/>
        <w:topLinePunct w:val="0"/>
        <w:autoSpaceDE/>
        <w:autoSpaceDN/>
        <w:bidi w:val="0"/>
        <w:spacing w:line="480" w:lineRule="exact"/>
        <w:ind w:firstLine="482" w:firstLineChars="200"/>
        <w:outlineLvl w:val="1"/>
        <w:rPr>
          <w:rFonts w:hint="eastAsia" w:ascii="宋体" w:hAnsi="宋体" w:eastAsia="宋体" w:cs="宋体"/>
          <w:b/>
          <w:color w:val="000000"/>
          <w:kern w:val="2"/>
          <w:sz w:val="24"/>
          <w:szCs w:val="24"/>
          <w:u w:val="none" w:color="auto"/>
          <w:lang w:val="en-US" w:eastAsia="zh-CN" w:bidi="ar-SA"/>
        </w:rPr>
        <w:sectPr>
          <w:pgSz w:w="11906" w:h="16838"/>
          <w:pgMar w:top="1440" w:right="1800" w:bottom="1440" w:left="1800" w:header="851" w:footer="992" w:gutter="0"/>
          <w:cols w:space="425" w:num="1"/>
          <w:docGrid w:type="lines" w:linePitch="312" w:charSpace="0"/>
        </w:sectPr>
      </w:pPr>
    </w:p>
    <w:p w14:paraId="2C99A15A">
      <w:pPr>
        <w:keepNext w:val="0"/>
        <w:keepLines w:val="0"/>
        <w:pageBreakBefore w:val="0"/>
        <w:numPr>
          <w:ilvl w:val="0"/>
          <w:numId w:val="0"/>
        </w:numPr>
        <w:kinsoku/>
        <w:wordWrap/>
        <w:overflowPunct/>
        <w:topLinePunct w:val="0"/>
        <w:autoSpaceDE/>
        <w:autoSpaceDN/>
        <w:bidi w:val="0"/>
        <w:spacing w:line="360" w:lineRule="auto"/>
        <w:outlineLvl w:val="1"/>
        <w:rPr>
          <w:rFonts w:hint="eastAsia" w:ascii="宋体" w:hAnsi="宋体" w:eastAsia="宋体" w:cs="宋体"/>
          <w:b/>
          <w:color w:val="000000"/>
          <w:sz w:val="24"/>
          <w:szCs w:val="24"/>
        </w:rPr>
      </w:pPr>
      <w:r>
        <w:rPr>
          <w:rFonts w:hint="eastAsia" w:ascii="宋体" w:hAnsi="宋体" w:eastAsia="宋体" w:cs="宋体"/>
          <w:b/>
          <w:color w:val="000000"/>
          <w:kern w:val="2"/>
          <w:sz w:val="24"/>
          <w:szCs w:val="24"/>
          <w:u w:val="none" w:color="auto"/>
          <w:lang w:val="en-US" w:eastAsia="zh-CN" w:bidi="ar-SA"/>
        </w:rPr>
        <w:t>四、</w:t>
      </w:r>
      <w:r>
        <w:rPr>
          <w:rFonts w:hint="eastAsia" w:ascii="宋体" w:hAnsi="宋体" w:eastAsia="宋体" w:cs="宋体"/>
          <w:b/>
          <w:color w:val="000000"/>
          <w:sz w:val="24"/>
          <w:szCs w:val="24"/>
        </w:rPr>
        <w:t>项目清单</w:t>
      </w:r>
    </w:p>
    <w:tbl>
      <w:tblPr>
        <w:tblStyle w:val="7"/>
        <w:tblW w:w="92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21"/>
        <w:gridCol w:w="1755"/>
        <w:gridCol w:w="4134"/>
        <w:gridCol w:w="741"/>
        <w:gridCol w:w="900"/>
        <w:gridCol w:w="1029"/>
      </w:tblGrid>
      <w:tr w14:paraId="58243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EFE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bookmarkStart w:id="3" w:name="_Toc19303"/>
            <w:bookmarkStart w:id="4" w:name="_Toc5398"/>
            <w:r>
              <w:rPr>
                <w:rFonts w:hint="eastAsia" w:ascii="宋体" w:hAnsi="宋体" w:eastAsia="宋体" w:cs="宋体"/>
                <w:i w:val="0"/>
                <w:iCs w:val="0"/>
                <w:color w:val="000000"/>
                <w:kern w:val="0"/>
                <w:sz w:val="22"/>
                <w:szCs w:val="22"/>
                <w:u w:val="none"/>
                <w:lang w:val="en-US" w:eastAsia="zh-CN" w:bidi="ar"/>
              </w:rPr>
              <w:t>序号</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C49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名称及类别</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BC8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核心参数</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D66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FA9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F3D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备注</w:t>
            </w:r>
          </w:p>
        </w:tc>
      </w:tr>
      <w:tr w14:paraId="50872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928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36C0E2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一、红绿灯信号控制系统</w:t>
            </w:r>
          </w:p>
        </w:tc>
      </w:tr>
      <w:tr w14:paraId="34576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6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818D7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四黎南路龙潭路路口红绿灯</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5CC1F">
            <w:pPr>
              <w:jc w:val="left"/>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125A1">
            <w:pPr>
              <w:jc w:val="left"/>
              <w:rPr>
                <w:rFonts w:hint="eastAsia" w:ascii="宋体" w:hAnsi="宋体" w:eastAsia="宋体" w:cs="宋体"/>
                <w:i w:val="0"/>
                <w:iCs w:val="0"/>
                <w:color w:val="000000"/>
                <w:sz w:val="22"/>
                <w:szCs w:val="22"/>
                <w:u w:val="none"/>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095CB">
            <w:pPr>
              <w:jc w:val="left"/>
              <w:rPr>
                <w:rFonts w:hint="eastAsia" w:ascii="宋体" w:hAnsi="宋体" w:eastAsia="宋体" w:cs="宋体"/>
                <w:i w:val="0"/>
                <w:iCs w:val="0"/>
                <w:color w:val="000000"/>
                <w:sz w:val="22"/>
                <w:szCs w:val="22"/>
                <w:u w:val="none"/>
              </w:rPr>
            </w:pPr>
          </w:p>
        </w:tc>
      </w:tr>
      <w:tr w14:paraId="5E417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786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58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C8816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 1路口交通信号灯系统</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DAD09">
            <w:pPr>
              <w:jc w:val="left"/>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ECCBB">
            <w:pPr>
              <w:jc w:val="left"/>
              <w:rPr>
                <w:rFonts w:hint="eastAsia" w:ascii="宋体" w:hAnsi="宋体" w:eastAsia="宋体" w:cs="宋体"/>
                <w:i w:val="0"/>
                <w:iCs w:val="0"/>
                <w:color w:val="000000"/>
                <w:sz w:val="22"/>
                <w:szCs w:val="22"/>
                <w:u w:val="none"/>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871B5">
            <w:pPr>
              <w:jc w:val="left"/>
              <w:rPr>
                <w:rFonts w:hint="eastAsia" w:ascii="宋体" w:hAnsi="宋体" w:eastAsia="宋体" w:cs="宋体"/>
                <w:i w:val="0"/>
                <w:iCs w:val="0"/>
                <w:color w:val="000000"/>
                <w:sz w:val="22"/>
                <w:szCs w:val="22"/>
                <w:u w:val="none"/>
              </w:rPr>
            </w:pPr>
          </w:p>
        </w:tc>
      </w:tr>
      <w:tr w14:paraId="0CC5F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298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B4E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道路交通信号控制机</w:t>
            </w:r>
          </w:p>
        </w:tc>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08DC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详见设备参数要求</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D9A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817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20FCC">
            <w:pPr>
              <w:jc w:val="left"/>
              <w:rPr>
                <w:rFonts w:hint="eastAsia" w:ascii="宋体" w:hAnsi="宋体" w:eastAsia="宋体" w:cs="宋体"/>
                <w:i w:val="0"/>
                <w:iCs w:val="0"/>
                <w:color w:val="000000"/>
                <w:sz w:val="22"/>
                <w:szCs w:val="22"/>
                <w:u w:val="none"/>
              </w:rPr>
            </w:pPr>
          </w:p>
        </w:tc>
      </w:tr>
      <w:tr w14:paraId="21273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387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6C5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400灯盘铝壳单8满屏竖装机动车信号灯</w:t>
            </w:r>
          </w:p>
        </w:tc>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1F29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详见设备参数要求</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650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629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9C1DD">
            <w:pPr>
              <w:jc w:val="left"/>
              <w:rPr>
                <w:rFonts w:hint="eastAsia" w:ascii="宋体" w:hAnsi="宋体" w:eastAsia="宋体" w:cs="宋体"/>
                <w:i w:val="0"/>
                <w:iCs w:val="0"/>
                <w:color w:val="000000"/>
                <w:sz w:val="22"/>
                <w:szCs w:val="22"/>
                <w:u w:val="none"/>
              </w:rPr>
            </w:pPr>
          </w:p>
        </w:tc>
      </w:tr>
      <w:tr w14:paraId="052C9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A7C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5CA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400灯盘铝壳单8左转竖装机动车信号灯</w:t>
            </w:r>
          </w:p>
        </w:tc>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C911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详见设备参数要求</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A6F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6A1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537EC">
            <w:pPr>
              <w:jc w:val="left"/>
              <w:rPr>
                <w:rFonts w:hint="eastAsia" w:ascii="宋体" w:hAnsi="宋体" w:eastAsia="宋体" w:cs="宋体"/>
                <w:i w:val="0"/>
                <w:iCs w:val="0"/>
                <w:color w:val="000000"/>
                <w:sz w:val="22"/>
                <w:szCs w:val="22"/>
                <w:u w:val="none"/>
              </w:rPr>
            </w:pPr>
          </w:p>
        </w:tc>
      </w:tr>
      <w:tr w14:paraId="43FE6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9D0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AC0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300灯盘铝壳双8静态人行(盲人钟)信号灯</w:t>
            </w:r>
          </w:p>
        </w:tc>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3492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详见设备参数要求</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FF9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5EF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2DCF0">
            <w:pPr>
              <w:jc w:val="left"/>
              <w:rPr>
                <w:rFonts w:hint="eastAsia" w:ascii="宋体" w:hAnsi="宋体" w:eastAsia="宋体" w:cs="宋体"/>
                <w:i w:val="0"/>
                <w:iCs w:val="0"/>
                <w:color w:val="000000"/>
                <w:sz w:val="22"/>
                <w:szCs w:val="22"/>
                <w:u w:val="none"/>
              </w:rPr>
            </w:pPr>
          </w:p>
        </w:tc>
      </w:tr>
      <w:tr w14:paraId="18419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A9A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779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设备安装调试</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2C28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1.安装跟随/触发/通讯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2.设备接线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3.灯光效果调试</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C09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F59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16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4AB56">
            <w:pPr>
              <w:jc w:val="left"/>
              <w:rPr>
                <w:rFonts w:hint="eastAsia" w:ascii="宋体" w:hAnsi="宋体" w:eastAsia="宋体" w:cs="宋体"/>
                <w:i w:val="0"/>
                <w:iCs w:val="0"/>
                <w:color w:val="000000"/>
                <w:sz w:val="22"/>
                <w:szCs w:val="22"/>
                <w:u w:val="none"/>
              </w:rPr>
            </w:pPr>
          </w:p>
        </w:tc>
      </w:tr>
      <w:tr w14:paraId="28561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17F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BFC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千箱美化</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DE8F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一般性质道路人行道边小型箱体彩绘，可以融入地域特色，或者选取周边建筑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等基础作为颜色及形式参考，即可以体现本土文化，又能与周边协调。</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806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F66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0F2C">
            <w:pPr>
              <w:jc w:val="left"/>
              <w:rPr>
                <w:rFonts w:hint="eastAsia" w:ascii="宋体" w:hAnsi="宋体" w:eastAsia="宋体" w:cs="宋体"/>
                <w:i w:val="0"/>
                <w:iCs w:val="0"/>
                <w:color w:val="000000"/>
                <w:sz w:val="22"/>
                <w:szCs w:val="22"/>
                <w:u w:val="none"/>
              </w:rPr>
            </w:pPr>
          </w:p>
        </w:tc>
      </w:tr>
      <w:tr w14:paraId="0F8EA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A15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3A6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电源防雷模块</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8009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1.极数2P</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2.额定持续电压275V</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3.标称放电电流40KA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4.保护水平1.5KV</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D80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CF0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8B13">
            <w:pPr>
              <w:jc w:val="left"/>
              <w:rPr>
                <w:rFonts w:hint="eastAsia" w:ascii="宋体" w:hAnsi="宋体" w:eastAsia="宋体" w:cs="宋体"/>
                <w:i w:val="0"/>
                <w:iCs w:val="0"/>
                <w:color w:val="000000"/>
                <w:sz w:val="22"/>
                <w:szCs w:val="22"/>
                <w:u w:val="none"/>
              </w:rPr>
            </w:pPr>
          </w:p>
        </w:tc>
      </w:tr>
      <w:tr w14:paraId="1885AFF1">
        <w:tblPrEx>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4FD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F5B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落地机柜强电模块</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AB38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1.63A2P漏电保护开关X1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2.20A2P空气保护开关X4</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3.10A2P空气保护开关X8</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EAE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1F7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C0A46">
            <w:pPr>
              <w:jc w:val="left"/>
              <w:rPr>
                <w:rFonts w:hint="eastAsia" w:ascii="宋体" w:hAnsi="宋体" w:eastAsia="宋体" w:cs="宋体"/>
                <w:i w:val="0"/>
                <w:iCs w:val="0"/>
                <w:color w:val="000000"/>
                <w:sz w:val="22"/>
                <w:szCs w:val="22"/>
                <w:u w:val="none"/>
              </w:rPr>
            </w:pPr>
          </w:p>
        </w:tc>
      </w:tr>
      <w:tr w14:paraId="4ED03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F6B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FAD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接地装置</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29C7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1.名称:接地母线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2.材质:镀锌扁钢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3.规格:-50*5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4.防雷接地极安装，接地主排引出，降阻剂及降阻模块安装，保证地阻低于10欧姆；</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268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1F1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89457">
            <w:pPr>
              <w:jc w:val="left"/>
              <w:rPr>
                <w:rFonts w:hint="eastAsia" w:ascii="宋体" w:hAnsi="宋体" w:eastAsia="宋体" w:cs="宋体"/>
                <w:i w:val="0"/>
                <w:iCs w:val="0"/>
                <w:color w:val="000000"/>
                <w:sz w:val="22"/>
                <w:szCs w:val="22"/>
                <w:u w:val="none"/>
              </w:rPr>
            </w:pPr>
          </w:p>
        </w:tc>
      </w:tr>
      <w:tr w14:paraId="4E19A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430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11 </w:t>
            </w:r>
          </w:p>
        </w:tc>
        <w:tc>
          <w:tcPr>
            <w:tcW w:w="58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6CB55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1.2.前端线路敷设工程</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2A7E2">
            <w:pPr>
              <w:jc w:val="left"/>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62F98">
            <w:pPr>
              <w:jc w:val="left"/>
              <w:rPr>
                <w:rFonts w:hint="eastAsia" w:ascii="宋体" w:hAnsi="宋体" w:eastAsia="宋体" w:cs="宋体"/>
                <w:i w:val="0"/>
                <w:iCs w:val="0"/>
                <w:color w:val="000000"/>
                <w:sz w:val="22"/>
                <w:szCs w:val="22"/>
                <w:u w:val="none"/>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48369">
            <w:pPr>
              <w:jc w:val="left"/>
              <w:rPr>
                <w:rFonts w:hint="eastAsia" w:ascii="宋体" w:hAnsi="宋体" w:eastAsia="宋体" w:cs="宋体"/>
                <w:i w:val="0"/>
                <w:iCs w:val="0"/>
                <w:color w:val="000000"/>
                <w:sz w:val="22"/>
                <w:szCs w:val="22"/>
                <w:u w:val="none"/>
              </w:rPr>
            </w:pPr>
          </w:p>
        </w:tc>
      </w:tr>
      <w:tr w14:paraId="32E07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E3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12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ABE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取电电表箱</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0B0C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40A单相电表，63A两极漏电保护开关</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18C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1B1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CCDDC">
            <w:pPr>
              <w:jc w:val="left"/>
              <w:rPr>
                <w:rFonts w:hint="eastAsia" w:ascii="宋体" w:hAnsi="宋体" w:eastAsia="宋体" w:cs="宋体"/>
                <w:i w:val="0"/>
                <w:iCs w:val="0"/>
                <w:color w:val="000000"/>
                <w:sz w:val="22"/>
                <w:szCs w:val="22"/>
                <w:u w:val="none"/>
              </w:rPr>
            </w:pPr>
          </w:p>
        </w:tc>
      </w:tr>
      <w:tr w14:paraId="097B5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7C0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13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1A2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路口取电主电源线</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DC26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1.名称:管内穿线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2.型号:RVV3*10㎡</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486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4BE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37.8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99C09">
            <w:pPr>
              <w:jc w:val="left"/>
              <w:rPr>
                <w:rFonts w:hint="eastAsia" w:ascii="宋体" w:hAnsi="宋体" w:eastAsia="宋体" w:cs="宋体"/>
                <w:i w:val="0"/>
                <w:iCs w:val="0"/>
                <w:color w:val="000000"/>
                <w:sz w:val="22"/>
                <w:szCs w:val="22"/>
                <w:u w:val="none"/>
              </w:rPr>
            </w:pPr>
          </w:p>
        </w:tc>
      </w:tr>
      <w:tr w14:paraId="13539F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7B8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14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193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地线</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CFDE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1.名称:管内穿线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2.型号:BVR-16㎡</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CD6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770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40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16B27">
            <w:pPr>
              <w:jc w:val="left"/>
              <w:rPr>
                <w:rFonts w:hint="eastAsia" w:ascii="宋体" w:hAnsi="宋体" w:eastAsia="宋体" w:cs="宋体"/>
                <w:i w:val="0"/>
                <w:iCs w:val="0"/>
                <w:color w:val="000000"/>
                <w:sz w:val="22"/>
                <w:szCs w:val="22"/>
                <w:u w:val="none"/>
              </w:rPr>
            </w:pPr>
          </w:p>
        </w:tc>
      </w:tr>
      <w:tr w14:paraId="18E8B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BB0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15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078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信号灯电缆</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9E40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1.名称:管内穿线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2.型号:RVV4*1.5㎡㎡</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7D4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D26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323.6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837DC">
            <w:pPr>
              <w:jc w:val="left"/>
              <w:rPr>
                <w:rFonts w:hint="eastAsia" w:ascii="宋体" w:hAnsi="宋体" w:eastAsia="宋体" w:cs="宋体"/>
                <w:i w:val="0"/>
                <w:iCs w:val="0"/>
                <w:color w:val="000000"/>
                <w:sz w:val="22"/>
                <w:szCs w:val="22"/>
                <w:u w:val="none"/>
              </w:rPr>
            </w:pPr>
          </w:p>
        </w:tc>
      </w:tr>
      <w:tr w14:paraId="7344E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439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16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845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人行灯电缆</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FDD7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1.名称:管内穿线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2.型号:RVV3*1.5㎡</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740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745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252.3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CD413">
            <w:pPr>
              <w:jc w:val="left"/>
              <w:rPr>
                <w:rFonts w:hint="eastAsia" w:ascii="宋体" w:hAnsi="宋体" w:eastAsia="宋体" w:cs="宋体"/>
                <w:i w:val="0"/>
                <w:iCs w:val="0"/>
                <w:color w:val="000000"/>
                <w:sz w:val="22"/>
                <w:szCs w:val="22"/>
                <w:u w:val="none"/>
              </w:rPr>
            </w:pPr>
          </w:p>
        </w:tc>
      </w:tr>
      <w:tr w14:paraId="7F359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088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17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154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32PE管</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0704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护套 PE子管   32子管</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387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B25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576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121FB">
            <w:pPr>
              <w:jc w:val="left"/>
              <w:rPr>
                <w:rFonts w:hint="eastAsia" w:ascii="宋体" w:hAnsi="宋体" w:eastAsia="宋体" w:cs="宋体"/>
                <w:i w:val="0"/>
                <w:iCs w:val="0"/>
                <w:color w:val="000000"/>
                <w:sz w:val="22"/>
                <w:szCs w:val="22"/>
                <w:u w:val="none"/>
              </w:rPr>
            </w:pPr>
          </w:p>
        </w:tc>
      </w:tr>
      <w:tr w14:paraId="2B75D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433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18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31C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布管布线</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326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综合布线、接线调试</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FA9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1E1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1230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12120">
            <w:pPr>
              <w:jc w:val="left"/>
              <w:rPr>
                <w:rFonts w:hint="eastAsia" w:ascii="宋体" w:hAnsi="宋体" w:eastAsia="宋体" w:cs="宋体"/>
                <w:i w:val="0"/>
                <w:iCs w:val="0"/>
                <w:color w:val="000000"/>
                <w:sz w:val="22"/>
                <w:szCs w:val="22"/>
                <w:u w:val="none"/>
              </w:rPr>
            </w:pPr>
          </w:p>
        </w:tc>
      </w:tr>
      <w:tr w14:paraId="7BD8A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B27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19 </w:t>
            </w:r>
          </w:p>
        </w:tc>
        <w:tc>
          <w:tcPr>
            <w:tcW w:w="58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FD449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1.3前端基建新增立杆</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1B20F">
            <w:pPr>
              <w:jc w:val="left"/>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B6E0B">
            <w:pPr>
              <w:jc w:val="left"/>
              <w:rPr>
                <w:rFonts w:hint="eastAsia" w:ascii="宋体" w:hAnsi="宋体" w:eastAsia="宋体" w:cs="宋体"/>
                <w:i w:val="0"/>
                <w:iCs w:val="0"/>
                <w:color w:val="000000"/>
                <w:sz w:val="22"/>
                <w:szCs w:val="22"/>
                <w:u w:val="none"/>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31518">
            <w:pPr>
              <w:jc w:val="left"/>
              <w:rPr>
                <w:rFonts w:hint="eastAsia" w:ascii="宋体" w:hAnsi="宋体" w:eastAsia="宋体" w:cs="宋体"/>
                <w:i w:val="0"/>
                <w:iCs w:val="0"/>
                <w:color w:val="000000"/>
                <w:sz w:val="22"/>
                <w:szCs w:val="22"/>
                <w:u w:val="none"/>
              </w:rPr>
            </w:pPr>
          </w:p>
        </w:tc>
      </w:tr>
      <w:tr w14:paraId="1A69C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ECD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20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ACD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落地机柜基座</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49AB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1.600mm×450mm底座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2.水泥沙砖铺设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3.贴白色瓷砖</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4.底座防雷制作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5.PVC-U电缆保护管 DN110引上</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1BE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414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A0F9D">
            <w:pPr>
              <w:jc w:val="left"/>
              <w:rPr>
                <w:rFonts w:hint="eastAsia" w:ascii="宋体" w:hAnsi="宋体" w:eastAsia="宋体" w:cs="宋体"/>
                <w:i w:val="0"/>
                <w:iCs w:val="0"/>
                <w:color w:val="000000"/>
                <w:sz w:val="22"/>
                <w:szCs w:val="22"/>
                <w:u w:val="none"/>
              </w:rPr>
            </w:pPr>
          </w:p>
        </w:tc>
      </w:tr>
      <w:tr w14:paraId="0858BC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4EC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21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52F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新建信号灯立杆(L6.5*10)</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2FA9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电警杆、信号灯杆、标志杆安装単悬臂杆(L杆)安装 杆高6500mm外</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1.冷轧钢板八角杆，整体镀锌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2.主杆高6.5m</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7DE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CDD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6A812">
            <w:pPr>
              <w:jc w:val="left"/>
              <w:rPr>
                <w:rFonts w:hint="eastAsia" w:ascii="宋体" w:hAnsi="宋体" w:eastAsia="宋体" w:cs="宋体"/>
                <w:i w:val="0"/>
                <w:iCs w:val="0"/>
                <w:color w:val="000000"/>
                <w:sz w:val="22"/>
                <w:szCs w:val="22"/>
                <w:u w:val="none"/>
              </w:rPr>
            </w:pPr>
          </w:p>
        </w:tc>
      </w:tr>
      <w:tr w14:paraId="7C87E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01A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22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FB8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信号灯立杆(L6.5*10)基础制作</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82D6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1.现浇钢筋混凝土池独立设备基础，C25预拌混凝土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2.钢筋制作、安装现浇混凝土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3.接地极(板)制作、安裝圆钢接地极普通土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4.接地极镀锌圆钢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5.接地母线敷设户外接地母线敷设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6.地脚螺拴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7.法兰盘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8.人工控沟糟、基坑一、二类土深度在2m内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 回填土夯实机夯实槽、坑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10.人工装卸汽车运土方运距1km 实际</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D0F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21D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563E6">
            <w:pPr>
              <w:jc w:val="left"/>
              <w:rPr>
                <w:rFonts w:hint="eastAsia" w:ascii="宋体" w:hAnsi="宋体" w:eastAsia="宋体" w:cs="宋体"/>
                <w:i w:val="0"/>
                <w:iCs w:val="0"/>
                <w:color w:val="000000"/>
                <w:sz w:val="22"/>
                <w:szCs w:val="22"/>
                <w:u w:val="none"/>
              </w:rPr>
            </w:pPr>
          </w:p>
        </w:tc>
      </w:tr>
      <w:tr w14:paraId="57875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DAD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23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89A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新建信号灯立杆(L6.5*4)</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56C5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电警杆、信号灯杆、标志杆安装単悬臂杆(L杆)安装 杆高6500mm外</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1.冷轧钢板八角杆，整体镀锌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2.主杆高6.5m</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D66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67B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61B32">
            <w:pPr>
              <w:jc w:val="left"/>
              <w:rPr>
                <w:rFonts w:hint="eastAsia" w:ascii="宋体" w:hAnsi="宋体" w:eastAsia="宋体" w:cs="宋体"/>
                <w:i w:val="0"/>
                <w:iCs w:val="0"/>
                <w:color w:val="000000"/>
                <w:sz w:val="22"/>
                <w:szCs w:val="22"/>
                <w:u w:val="none"/>
              </w:rPr>
            </w:pPr>
          </w:p>
        </w:tc>
      </w:tr>
      <w:tr w14:paraId="230D0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F1B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24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C95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信号灯立杆(L6.5*4)基础制作</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F0A9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1.现浇钢筋混凝土池独立设备基础，C25预拌混凝土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2.钢筋制作、安装现浇混凝土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3.接地极(板)制作、安裝圆钢接地极普通土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4.接地极镀锌圆钢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5.接地母线敷设户外接地母线敷设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6.地脚螺拴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7.法兰盘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8.人工控沟糟、基坑一、二类土深度在2m内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 回填土夯实机夯实槽、坑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10.人工装卸汽车运土方运距1km 实际</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4AC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0C6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03C6D">
            <w:pPr>
              <w:jc w:val="left"/>
              <w:rPr>
                <w:rFonts w:hint="eastAsia" w:ascii="宋体" w:hAnsi="宋体" w:eastAsia="宋体" w:cs="宋体"/>
                <w:i w:val="0"/>
                <w:iCs w:val="0"/>
                <w:color w:val="000000"/>
                <w:sz w:val="22"/>
                <w:szCs w:val="22"/>
                <w:u w:val="none"/>
              </w:rPr>
            </w:pPr>
          </w:p>
        </w:tc>
      </w:tr>
      <w:tr w14:paraId="7BBB3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CEE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25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5C4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人行灯杆</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8DF7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运距(km)：15，H=3.5米,圆形热镀锌，含地笼预埋件</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25B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3DD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5A3E5">
            <w:pPr>
              <w:jc w:val="left"/>
              <w:rPr>
                <w:rFonts w:hint="eastAsia" w:ascii="宋体" w:hAnsi="宋体" w:eastAsia="宋体" w:cs="宋体"/>
                <w:i w:val="0"/>
                <w:iCs w:val="0"/>
                <w:color w:val="000000"/>
                <w:sz w:val="22"/>
                <w:szCs w:val="22"/>
                <w:u w:val="none"/>
              </w:rPr>
            </w:pPr>
          </w:p>
        </w:tc>
      </w:tr>
      <w:tr w14:paraId="4B902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B7B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26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409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人行灯立杆基础制作</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8E0F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1.现浇钢筋混凝土池独立设备基础，C25预拌混凝土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2.钢筋制作、安装现浇混凝土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3.接地极(板)制作、安裝圆钢接地极普通土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4.接地极镀锌圆钢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5.接地母线敷设户外接地母线敷设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6.地脚螺拴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7.法兰盘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8.人工控沟糟、基坑一、二类土深度在1m内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 回填土夯实机夯实槽、坑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10.人工装卸汽车运土方运距1km 实际</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496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72F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C8FA6">
            <w:pPr>
              <w:jc w:val="left"/>
              <w:rPr>
                <w:rFonts w:hint="eastAsia" w:ascii="宋体" w:hAnsi="宋体" w:eastAsia="宋体" w:cs="宋体"/>
                <w:i w:val="0"/>
                <w:iCs w:val="0"/>
                <w:color w:val="000000"/>
                <w:sz w:val="22"/>
                <w:szCs w:val="22"/>
                <w:u w:val="none"/>
              </w:rPr>
            </w:pPr>
          </w:p>
        </w:tc>
      </w:tr>
      <w:tr w14:paraId="33BE8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1FD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27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6FE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分线井制作</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1593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运距(km)：15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1.500*500*600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2.钢筋混凝土井盖、井圈制作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3.垫层砂碎石</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2DA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770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19D73">
            <w:pPr>
              <w:jc w:val="left"/>
              <w:rPr>
                <w:rFonts w:hint="eastAsia" w:ascii="宋体" w:hAnsi="宋体" w:eastAsia="宋体" w:cs="宋体"/>
                <w:i w:val="0"/>
                <w:iCs w:val="0"/>
                <w:color w:val="000000"/>
                <w:sz w:val="22"/>
                <w:szCs w:val="22"/>
                <w:u w:val="none"/>
              </w:rPr>
            </w:pPr>
          </w:p>
        </w:tc>
      </w:tr>
      <w:tr w14:paraId="6DB207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BFB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28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39E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主机箱分线井制作</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E370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1.800*600*600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2.钢筋混凝土井盖、井圈制作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3.垫层砂碎石</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CCD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20F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5D31B">
            <w:pPr>
              <w:jc w:val="left"/>
              <w:rPr>
                <w:rFonts w:hint="eastAsia" w:ascii="宋体" w:hAnsi="宋体" w:eastAsia="宋体" w:cs="宋体"/>
                <w:i w:val="0"/>
                <w:iCs w:val="0"/>
                <w:color w:val="000000"/>
                <w:sz w:val="22"/>
                <w:szCs w:val="22"/>
                <w:u w:val="none"/>
              </w:rPr>
            </w:pPr>
          </w:p>
        </w:tc>
      </w:tr>
      <w:tr w14:paraId="575860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CEE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29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CD2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沥青路面开挖和恢复</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4A17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1.旧路面机械切1装 沥青混凝土路面8</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B41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38F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61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EB27E">
            <w:pPr>
              <w:jc w:val="left"/>
              <w:rPr>
                <w:rFonts w:hint="eastAsia" w:ascii="宋体" w:hAnsi="宋体" w:eastAsia="宋体" w:cs="宋体"/>
                <w:i w:val="0"/>
                <w:iCs w:val="0"/>
                <w:color w:val="000000"/>
                <w:sz w:val="22"/>
                <w:szCs w:val="22"/>
                <w:u w:val="none"/>
              </w:rPr>
            </w:pPr>
          </w:p>
        </w:tc>
      </w:tr>
      <w:tr w14:paraId="3E82E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D6C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30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4E0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100PE管</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CF9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1.名称：电缆保护管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2.材质:PE管</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7CC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696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61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28351">
            <w:pPr>
              <w:jc w:val="left"/>
              <w:rPr>
                <w:rFonts w:hint="eastAsia" w:ascii="宋体" w:hAnsi="宋体" w:eastAsia="宋体" w:cs="宋体"/>
                <w:i w:val="0"/>
                <w:iCs w:val="0"/>
                <w:color w:val="000000"/>
                <w:sz w:val="22"/>
                <w:szCs w:val="22"/>
                <w:u w:val="none"/>
              </w:rPr>
            </w:pPr>
          </w:p>
        </w:tc>
      </w:tr>
      <w:tr w14:paraId="350599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8D6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31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779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利旧管道</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711B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1.利用旧有路灯管道穿线</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F2C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421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61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C3A82">
            <w:pPr>
              <w:jc w:val="left"/>
              <w:rPr>
                <w:rFonts w:hint="eastAsia" w:ascii="宋体" w:hAnsi="宋体" w:eastAsia="宋体" w:cs="宋体"/>
                <w:i w:val="0"/>
                <w:iCs w:val="0"/>
                <w:color w:val="000000"/>
                <w:sz w:val="22"/>
                <w:szCs w:val="22"/>
                <w:u w:val="none"/>
              </w:rPr>
            </w:pPr>
          </w:p>
        </w:tc>
      </w:tr>
      <w:tr w14:paraId="75CAA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1E9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32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655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利旧过线井</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58E5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 清理旧有管道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1.利用旧有路灯检查井穿线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2.清理旧有检查井</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FCA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464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FF1C7">
            <w:pPr>
              <w:jc w:val="left"/>
              <w:rPr>
                <w:rFonts w:hint="eastAsia" w:ascii="宋体" w:hAnsi="宋体" w:eastAsia="宋体" w:cs="宋体"/>
                <w:i w:val="0"/>
                <w:iCs w:val="0"/>
                <w:color w:val="000000"/>
                <w:sz w:val="22"/>
                <w:szCs w:val="22"/>
                <w:u w:val="none"/>
              </w:rPr>
            </w:pPr>
          </w:p>
        </w:tc>
      </w:tr>
      <w:tr w14:paraId="5F41E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B30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33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FF5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大理石路面开挖和恢复</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0D20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1.旧路面机械切1装 大理石路面5cm厚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2.风动凿岩机拆除混凝土类路面层无筋厚15cm内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3.水泥混凝土路面厚度15cm 通商品混凝土碎石粒径20石C30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4.花砖路面铺设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5.拆除各类底层厚30cm</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356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C34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54.7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1FAD7">
            <w:pPr>
              <w:jc w:val="left"/>
              <w:rPr>
                <w:rFonts w:hint="eastAsia" w:ascii="宋体" w:hAnsi="宋体" w:eastAsia="宋体" w:cs="宋体"/>
                <w:i w:val="0"/>
                <w:iCs w:val="0"/>
                <w:color w:val="000000"/>
                <w:sz w:val="22"/>
                <w:szCs w:val="22"/>
                <w:u w:val="none"/>
              </w:rPr>
            </w:pPr>
          </w:p>
        </w:tc>
      </w:tr>
      <w:tr w14:paraId="740B6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D91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34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D18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绿化路面开挖与恢复</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3CAA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绿化路面开挖与恢复</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8B7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AD0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8.5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66B9B">
            <w:pPr>
              <w:jc w:val="left"/>
              <w:rPr>
                <w:rFonts w:hint="eastAsia" w:ascii="宋体" w:hAnsi="宋体" w:eastAsia="宋体" w:cs="宋体"/>
                <w:i w:val="0"/>
                <w:iCs w:val="0"/>
                <w:color w:val="000000"/>
                <w:sz w:val="22"/>
                <w:szCs w:val="22"/>
                <w:u w:val="none"/>
              </w:rPr>
            </w:pPr>
          </w:p>
        </w:tc>
      </w:tr>
      <w:tr w14:paraId="1E8D8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21E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35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225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PVC50管</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F124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1.名称:电缆保护管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2.材质:PVC管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3.规格:1*PVC50，含管道配件</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649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E9C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25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842E7">
            <w:pPr>
              <w:jc w:val="left"/>
              <w:rPr>
                <w:rFonts w:hint="eastAsia" w:ascii="宋体" w:hAnsi="宋体" w:eastAsia="宋体" w:cs="宋体"/>
                <w:i w:val="0"/>
                <w:iCs w:val="0"/>
                <w:color w:val="000000"/>
                <w:sz w:val="22"/>
                <w:szCs w:val="22"/>
                <w:u w:val="none"/>
              </w:rPr>
            </w:pPr>
          </w:p>
        </w:tc>
      </w:tr>
      <w:tr w14:paraId="353EB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5F7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36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0C5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分支由过路电缆保护管道（埋管）</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9798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1.名称:电缆保护管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2.材质:PVC管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3.规格:1*PVC75，  含管道配件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4.敷设方式:埋地敷设</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266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77C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63.2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C53B6">
            <w:pPr>
              <w:jc w:val="left"/>
              <w:rPr>
                <w:rFonts w:hint="eastAsia" w:ascii="宋体" w:hAnsi="宋体" w:eastAsia="宋体" w:cs="宋体"/>
                <w:i w:val="0"/>
                <w:iCs w:val="0"/>
                <w:color w:val="000000"/>
                <w:sz w:val="22"/>
                <w:szCs w:val="22"/>
                <w:u w:val="none"/>
              </w:rPr>
            </w:pPr>
          </w:p>
        </w:tc>
      </w:tr>
      <w:tr w14:paraId="486AA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7BD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37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D58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水泥隔离墩</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8021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1.名称:水泥隔离墩</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EFA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F34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61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55C37">
            <w:pPr>
              <w:jc w:val="left"/>
              <w:rPr>
                <w:rFonts w:hint="eastAsia" w:ascii="宋体" w:hAnsi="宋体" w:eastAsia="宋体" w:cs="宋体"/>
                <w:i w:val="0"/>
                <w:iCs w:val="0"/>
                <w:color w:val="000000"/>
                <w:sz w:val="22"/>
                <w:szCs w:val="22"/>
                <w:u w:val="none"/>
              </w:rPr>
            </w:pPr>
          </w:p>
        </w:tc>
      </w:tr>
      <w:tr w14:paraId="2CAA1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6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486C5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科苑大道鹅岭路路口红绿灯</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AEEAF">
            <w:pPr>
              <w:jc w:val="left"/>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B5FED">
            <w:pPr>
              <w:jc w:val="left"/>
              <w:rPr>
                <w:rFonts w:hint="eastAsia" w:ascii="宋体" w:hAnsi="宋体" w:eastAsia="宋体" w:cs="宋体"/>
                <w:i w:val="0"/>
                <w:iCs w:val="0"/>
                <w:color w:val="000000"/>
                <w:sz w:val="22"/>
                <w:szCs w:val="22"/>
                <w:u w:val="none"/>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475EB">
            <w:pPr>
              <w:jc w:val="left"/>
              <w:rPr>
                <w:rFonts w:hint="eastAsia" w:ascii="宋体" w:hAnsi="宋体" w:eastAsia="宋体" w:cs="宋体"/>
                <w:i w:val="0"/>
                <w:iCs w:val="0"/>
                <w:color w:val="000000"/>
                <w:sz w:val="22"/>
                <w:szCs w:val="22"/>
                <w:u w:val="none"/>
              </w:rPr>
            </w:pPr>
          </w:p>
        </w:tc>
      </w:tr>
      <w:tr w14:paraId="0D505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7FB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58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A724D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 1路口交通信号灯系统</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2CF21">
            <w:pPr>
              <w:jc w:val="left"/>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F4993">
            <w:pPr>
              <w:jc w:val="left"/>
              <w:rPr>
                <w:rFonts w:hint="eastAsia" w:ascii="宋体" w:hAnsi="宋体" w:eastAsia="宋体" w:cs="宋体"/>
                <w:i w:val="0"/>
                <w:iCs w:val="0"/>
                <w:color w:val="000000"/>
                <w:sz w:val="22"/>
                <w:szCs w:val="22"/>
                <w:u w:val="none"/>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1360E">
            <w:pPr>
              <w:jc w:val="left"/>
              <w:rPr>
                <w:rFonts w:hint="eastAsia" w:ascii="宋体" w:hAnsi="宋体" w:eastAsia="宋体" w:cs="宋体"/>
                <w:i w:val="0"/>
                <w:iCs w:val="0"/>
                <w:color w:val="000000"/>
                <w:sz w:val="22"/>
                <w:szCs w:val="22"/>
                <w:u w:val="none"/>
              </w:rPr>
            </w:pPr>
          </w:p>
        </w:tc>
      </w:tr>
      <w:tr w14:paraId="368EB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798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955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道路交通信号控制机</w:t>
            </w:r>
          </w:p>
        </w:tc>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CD42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详见设备参数要求</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A20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CD5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359B7">
            <w:pPr>
              <w:jc w:val="left"/>
              <w:rPr>
                <w:rFonts w:hint="eastAsia" w:ascii="宋体" w:hAnsi="宋体" w:eastAsia="宋体" w:cs="宋体"/>
                <w:i w:val="0"/>
                <w:iCs w:val="0"/>
                <w:color w:val="000000"/>
                <w:sz w:val="22"/>
                <w:szCs w:val="22"/>
                <w:u w:val="none"/>
              </w:rPr>
            </w:pPr>
          </w:p>
        </w:tc>
      </w:tr>
      <w:tr w14:paraId="6D553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D73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75B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400灯盘铝壳单8满屏竖装机动车信号灯</w:t>
            </w:r>
          </w:p>
        </w:tc>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5D5B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详见设备参数要求</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AA5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D00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87F22">
            <w:pPr>
              <w:jc w:val="left"/>
              <w:rPr>
                <w:rFonts w:hint="eastAsia" w:ascii="宋体" w:hAnsi="宋体" w:eastAsia="宋体" w:cs="宋体"/>
                <w:i w:val="0"/>
                <w:iCs w:val="0"/>
                <w:color w:val="000000"/>
                <w:sz w:val="22"/>
                <w:szCs w:val="22"/>
                <w:u w:val="none"/>
              </w:rPr>
            </w:pPr>
          </w:p>
        </w:tc>
      </w:tr>
      <w:tr w14:paraId="39069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543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BCD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400灯盘铝壳单8左转竖装机动车信号灯</w:t>
            </w:r>
          </w:p>
        </w:tc>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A0C4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详见设备参数要求</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2FC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0FE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A0880">
            <w:pPr>
              <w:jc w:val="left"/>
              <w:rPr>
                <w:rFonts w:hint="eastAsia" w:ascii="宋体" w:hAnsi="宋体" w:eastAsia="宋体" w:cs="宋体"/>
                <w:i w:val="0"/>
                <w:iCs w:val="0"/>
                <w:color w:val="000000"/>
                <w:sz w:val="22"/>
                <w:szCs w:val="22"/>
                <w:u w:val="none"/>
              </w:rPr>
            </w:pPr>
          </w:p>
        </w:tc>
      </w:tr>
      <w:tr w14:paraId="19233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E35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BEE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300灯盘铝壳双8静态人行(盲人钟)信号灯</w:t>
            </w:r>
          </w:p>
        </w:tc>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A7F9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详见设备参数要求</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C9B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110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DC728">
            <w:pPr>
              <w:jc w:val="left"/>
              <w:rPr>
                <w:rFonts w:hint="eastAsia" w:ascii="宋体" w:hAnsi="宋体" w:eastAsia="宋体" w:cs="宋体"/>
                <w:i w:val="0"/>
                <w:iCs w:val="0"/>
                <w:color w:val="000000"/>
                <w:sz w:val="22"/>
                <w:szCs w:val="22"/>
                <w:u w:val="none"/>
              </w:rPr>
            </w:pPr>
          </w:p>
        </w:tc>
      </w:tr>
      <w:tr w14:paraId="2AAF2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FC5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313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设备安装调试</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BF2C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1.安装跟随/触发/通讯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2.设备接线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3.灯光效果调试</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2C0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9CF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14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4C12B">
            <w:pPr>
              <w:jc w:val="left"/>
              <w:rPr>
                <w:rFonts w:hint="eastAsia" w:ascii="宋体" w:hAnsi="宋体" w:eastAsia="宋体" w:cs="宋体"/>
                <w:i w:val="0"/>
                <w:iCs w:val="0"/>
                <w:color w:val="000000"/>
                <w:sz w:val="22"/>
                <w:szCs w:val="22"/>
                <w:u w:val="none"/>
              </w:rPr>
            </w:pPr>
          </w:p>
        </w:tc>
      </w:tr>
      <w:tr w14:paraId="67CBE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0EA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E8C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千箱美化</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3272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一般性质道路人行道边小型箱体彩绘，可以融入地域特色，或者选取周边建筑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等基础作为颜色及形式参考，即可以体现本土文化，又能与周边协调。</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CC2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C5D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48457">
            <w:pPr>
              <w:jc w:val="left"/>
              <w:rPr>
                <w:rFonts w:hint="eastAsia" w:ascii="宋体" w:hAnsi="宋体" w:eastAsia="宋体" w:cs="宋体"/>
                <w:i w:val="0"/>
                <w:iCs w:val="0"/>
                <w:color w:val="000000"/>
                <w:sz w:val="22"/>
                <w:szCs w:val="22"/>
                <w:u w:val="none"/>
              </w:rPr>
            </w:pPr>
          </w:p>
        </w:tc>
      </w:tr>
      <w:tr w14:paraId="401ED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103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A17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电源防雷模块</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0C74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1.极数2P</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2.额定持续电压275V</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3.标称放电电流40KA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4.保护水平1.5KV</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2FB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C53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0BFBF">
            <w:pPr>
              <w:jc w:val="left"/>
              <w:rPr>
                <w:rFonts w:hint="eastAsia" w:ascii="宋体" w:hAnsi="宋体" w:eastAsia="宋体" w:cs="宋体"/>
                <w:i w:val="0"/>
                <w:iCs w:val="0"/>
                <w:color w:val="000000"/>
                <w:sz w:val="22"/>
                <w:szCs w:val="22"/>
                <w:u w:val="none"/>
              </w:rPr>
            </w:pPr>
          </w:p>
        </w:tc>
      </w:tr>
      <w:tr w14:paraId="6F629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D7E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8AA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落地机柜强电模块</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BE7F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1.63A2P漏电保护开关X1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2.20A2P空气保护开关X4</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3.10A2P空气保护开关X8</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8F3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706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5B3E3">
            <w:pPr>
              <w:jc w:val="left"/>
              <w:rPr>
                <w:rFonts w:hint="eastAsia" w:ascii="宋体" w:hAnsi="宋体" w:eastAsia="宋体" w:cs="宋体"/>
                <w:i w:val="0"/>
                <w:iCs w:val="0"/>
                <w:color w:val="000000"/>
                <w:sz w:val="22"/>
                <w:szCs w:val="22"/>
                <w:u w:val="none"/>
              </w:rPr>
            </w:pPr>
          </w:p>
        </w:tc>
      </w:tr>
      <w:tr w14:paraId="30048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132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66D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接地装置</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BE1E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1.名称:接地母线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2.材质:镀锌扁钢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3.规格:-50*5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4.防雷接地极安装，接地主排引出，降阻剂及降阻模块安装，保证地阻低于10欧姆；</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3B4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B10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182A8">
            <w:pPr>
              <w:jc w:val="left"/>
              <w:rPr>
                <w:rFonts w:hint="eastAsia" w:ascii="宋体" w:hAnsi="宋体" w:eastAsia="宋体" w:cs="宋体"/>
                <w:i w:val="0"/>
                <w:iCs w:val="0"/>
                <w:color w:val="000000"/>
                <w:sz w:val="22"/>
                <w:szCs w:val="22"/>
                <w:u w:val="none"/>
              </w:rPr>
            </w:pPr>
          </w:p>
        </w:tc>
      </w:tr>
      <w:tr w14:paraId="05C73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7B8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11 </w:t>
            </w:r>
          </w:p>
        </w:tc>
        <w:tc>
          <w:tcPr>
            <w:tcW w:w="58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40128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1.2.前端线路敷设工程</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18C25">
            <w:pPr>
              <w:jc w:val="left"/>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CC5A1">
            <w:pPr>
              <w:jc w:val="left"/>
              <w:rPr>
                <w:rFonts w:hint="eastAsia" w:ascii="宋体" w:hAnsi="宋体" w:eastAsia="宋体" w:cs="宋体"/>
                <w:i w:val="0"/>
                <w:iCs w:val="0"/>
                <w:color w:val="000000"/>
                <w:sz w:val="22"/>
                <w:szCs w:val="22"/>
                <w:u w:val="none"/>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CC00F">
            <w:pPr>
              <w:jc w:val="left"/>
              <w:rPr>
                <w:rFonts w:hint="eastAsia" w:ascii="宋体" w:hAnsi="宋体" w:eastAsia="宋体" w:cs="宋体"/>
                <w:i w:val="0"/>
                <w:iCs w:val="0"/>
                <w:color w:val="000000"/>
                <w:sz w:val="22"/>
                <w:szCs w:val="22"/>
                <w:u w:val="none"/>
              </w:rPr>
            </w:pPr>
          </w:p>
        </w:tc>
      </w:tr>
      <w:tr w14:paraId="1D37D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E64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12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34F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取电电表箱</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54C8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40A单相电表，63A两极漏电保护开关</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70A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0F7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CE940">
            <w:pPr>
              <w:jc w:val="left"/>
              <w:rPr>
                <w:rFonts w:hint="eastAsia" w:ascii="宋体" w:hAnsi="宋体" w:eastAsia="宋体" w:cs="宋体"/>
                <w:i w:val="0"/>
                <w:iCs w:val="0"/>
                <w:color w:val="000000"/>
                <w:sz w:val="22"/>
                <w:szCs w:val="22"/>
                <w:u w:val="none"/>
              </w:rPr>
            </w:pPr>
          </w:p>
        </w:tc>
      </w:tr>
      <w:tr w14:paraId="1A019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C7A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13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412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路口取电主电源线</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F66D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1.名称:管内穿线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2.型号:RVV3*10㎡</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478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C85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AF388">
            <w:pPr>
              <w:jc w:val="left"/>
              <w:rPr>
                <w:rFonts w:hint="eastAsia" w:ascii="宋体" w:hAnsi="宋体" w:eastAsia="宋体" w:cs="宋体"/>
                <w:i w:val="0"/>
                <w:iCs w:val="0"/>
                <w:color w:val="000000"/>
                <w:sz w:val="22"/>
                <w:szCs w:val="22"/>
                <w:u w:val="none"/>
              </w:rPr>
            </w:pPr>
          </w:p>
        </w:tc>
      </w:tr>
      <w:tr w14:paraId="41748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4FF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14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606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地线</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773F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1.名称:管内穿线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2.型号:BVR-16㎡</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FF1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FA3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30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E3ECA">
            <w:pPr>
              <w:jc w:val="left"/>
              <w:rPr>
                <w:rFonts w:hint="eastAsia" w:ascii="宋体" w:hAnsi="宋体" w:eastAsia="宋体" w:cs="宋体"/>
                <w:i w:val="0"/>
                <w:iCs w:val="0"/>
                <w:color w:val="000000"/>
                <w:sz w:val="22"/>
                <w:szCs w:val="22"/>
                <w:u w:val="none"/>
              </w:rPr>
            </w:pPr>
          </w:p>
        </w:tc>
      </w:tr>
      <w:tr w14:paraId="38F10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D28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15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749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信号灯电缆</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05A8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1.名称:管内穿线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2.型号:RVV4*1.5㎡㎡</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572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E69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468.6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BB337">
            <w:pPr>
              <w:jc w:val="left"/>
              <w:rPr>
                <w:rFonts w:hint="eastAsia" w:ascii="宋体" w:hAnsi="宋体" w:eastAsia="宋体" w:cs="宋体"/>
                <w:i w:val="0"/>
                <w:iCs w:val="0"/>
                <w:color w:val="000000"/>
                <w:sz w:val="22"/>
                <w:szCs w:val="22"/>
                <w:u w:val="none"/>
              </w:rPr>
            </w:pPr>
          </w:p>
        </w:tc>
      </w:tr>
      <w:tr w14:paraId="5DE7D1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B96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16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607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人行灯电缆</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B55E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1.名称:管内穿线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2.型号:RVV3*1.5㎡</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502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FC0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389.4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8CC11">
            <w:pPr>
              <w:jc w:val="left"/>
              <w:rPr>
                <w:rFonts w:hint="eastAsia" w:ascii="宋体" w:hAnsi="宋体" w:eastAsia="宋体" w:cs="宋体"/>
                <w:i w:val="0"/>
                <w:iCs w:val="0"/>
                <w:color w:val="000000"/>
                <w:sz w:val="22"/>
                <w:szCs w:val="22"/>
                <w:u w:val="none"/>
              </w:rPr>
            </w:pPr>
          </w:p>
        </w:tc>
      </w:tr>
      <w:tr w14:paraId="7F533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03C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17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A19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32PE管</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9544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护套 PE子管   32子管</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56D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7C8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858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75A60">
            <w:pPr>
              <w:jc w:val="left"/>
              <w:rPr>
                <w:rFonts w:hint="eastAsia" w:ascii="宋体" w:hAnsi="宋体" w:eastAsia="宋体" w:cs="宋体"/>
                <w:i w:val="0"/>
                <w:iCs w:val="0"/>
                <w:color w:val="000000"/>
                <w:sz w:val="22"/>
                <w:szCs w:val="22"/>
                <w:u w:val="none"/>
              </w:rPr>
            </w:pPr>
          </w:p>
        </w:tc>
      </w:tr>
      <w:tr w14:paraId="44F1F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2BF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18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DCD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布管布线</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30CF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综合布线、接线调试</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AA3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A57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1756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36EDD">
            <w:pPr>
              <w:jc w:val="left"/>
              <w:rPr>
                <w:rFonts w:hint="eastAsia" w:ascii="宋体" w:hAnsi="宋体" w:eastAsia="宋体" w:cs="宋体"/>
                <w:i w:val="0"/>
                <w:iCs w:val="0"/>
                <w:color w:val="000000"/>
                <w:sz w:val="22"/>
                <w:szCs w:val="22"/>
                <w:u w:val="none"/>
              </w:rPr>
            </w:pPr>
          </w:p>
        </w:tc>
      </w:tr>
      <w:tr w14:paraId="3FCF5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A86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19 </w:t>
            </w:r>
          </w:p>
        </w:tc>
        <w:tc>
          <w:tcPr>
            <w:tcW w:w="58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5BD16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1.3前端基建新增立杆</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8265B">
            <w:pPr>
              <w:jc w:val="left"/>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266A7">
            <w:pPr>
              <w:jc w:val="left"/>
              <w:rPr>
                <w:rFonts w:hint="eastAsia" w:ascii="宋体" w:hAnsi="宋体" w:eastAsia="宋体" w:cs="宋体"/>
                <w:i w:val="0"/>
                <w:iCs w:val="0"/>
                <w:color w:val="000000"/>
                <w:sz w:val="22"/>
                <w:szCs w:val="22"/>
                <w:u w:val="none"/>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54435">
            <w:pPr>
              <w:jc w:val="left"/>
              <w:rPr>
                <w:rFonts w:hint="eastAsia" w:ascii="宋体" w:hAnsi="宋体" w:eastAsia="宋体" w:cs="宋体"/>
                <w:i w:val="0"/>
                <w:iCs w:val="0"/>
                <w:color w:val="000000"/>
                <w:sz w:val="22"/>
                <w:szCs w:val="22"/>
                <w:u w:val="none"/>
              </w:rPr>
            </w:pPr>
          </w:p>
        </w:tc>
      </w:tr>
      <w:tr w14:paraId="4A6C8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60B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20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562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落地机柜基座</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5D3B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1.600mm×450mm底座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2.水泥沙砖铺设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3.贴白色瓷砖</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4.底座防雷制作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5.PVC-U电缆保护管 DN110引上</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6E4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DE7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89E1B">
            <w:pPr>
              <w:jc w:val="left"/>
              <w:rPr>
                <w:rFonts w:hint="eastAsia" w:ascii="宋体" w:hAnsi="宋体" w:eastAsia="宋体" w:cs="宋体"/>
                <w:i w:val="0"/>
                <w:iCs w:val="0"/>
                <w:color w:val="000000"/>
                <w:sz w:val="22"/>
                <w:szCs w:val="22"/>
                <w:u w:val="none"/>
              </w:rPr>
            </w:pPr>
          </w:p>
        </w:tc>
      </w:tr>
      <w:tr w14:paraId="2BD54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15F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21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B23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新建信号灯立杆(L6.5*10)</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8F0A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电警杆、信号灯杆、标志杆安装単悬臂杆(L杆)安装 杆高6500mm外</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1.冷轧钢板八角杆，整体镀锌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2.主杆高6.5m</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92B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AB7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74924">
            <w:pPr>
              <w:jc w:val="left"/>
              <w:rPr>
                <w:rFonts w:hint="eastAsia" w:ascii="宋体" w:hAnsi="宋体" w:eastAsia="宋体" w:cs="宋体"/>
                <w:i w:val="0"/>
                <w:iCs w:val="0"/>
                <w:color w:val="000000"/>
                <w:sz w:val="22"/>
                <w:szCs w:val="22"/>
                <w:u w:val="none"/>
              </w:rPr>
            </w:pPr>
          </w:p>
        </w:tc>
      </w:tr>
      <w:tr w14:paraId="6311F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E80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22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6FD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信号灯立杆(L6.5*10)基础制作</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1F3E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1.现浇钢筋混凝土池独立设备基础，C25预拌混凝土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2.钢筋制作、安装现浇混凝土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3.接地极(板)制作、安裝圆钢接地极普通土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4.接地极镀锌圆钢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5.接地母线敷设户外接地母线敷设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6.地脚螺拴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7.法兰盘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8.人工控沟糟、基坑一、二类土深度在2m内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 回填土夯实机夯实槽、坑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10.人工装卸汽车运土方运距1km 实际</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04B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6A7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00869">
            <w:pPr>
              <w:jc w:val="left"/>
              <w:rPr>
                <w:rFonts w:hint="eastAsia" w:ascii="宋体" w:hAnsi="宋体" w:eastAsia="宋体" w:cs="宋体"/>
                <w:i w:val="0"/>
                <w:iCs w:val="0"/>
                <w:color w:val="000000"/>
                <w:sz w:val="22"/>
                <w:szCs w:val="22"/>
                <w:u w:val="none"/>
              </w:rPr>
            </w:pPr>
          </w:p>
        </w:tc>
      </w:tr>
      <w:tr w14:paraId="0C881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7AF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23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9F7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新建信号灯立杆(L6.5*6)</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099C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电警杆、信号灯杆、标志杆安装単悬臂杆(L杆)安装 杆高6500mm外</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1.冷轧钢板八角杆，整体镀锌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2.主杆高6.5m</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5D5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C59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AF35C">
            <w:pPr>
              <w:jc w:val="left"/>
              <w:rPr>
                <w:rFonts w:hint="eastAsia" w:ascii="宋体" w:hAnsi="宋体" w:eastAsia="宋体" w:cs="宋体"/>
                <w:i w:val="0"/>
                <w:iCs w:val="0"/>
                <w:color w:val="000000"/>
                <w:sz w:val="22"/>
                <w:szCs w:val="22"/>
                <w:u w:val="none"/>
              </w:rPr>
            </w:pPr>
          </w:p>
        </w:tc>
      </w:tr>
      <w:tr w14:paraId="43F7B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E27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24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083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机动灯立杆(L6.5*6)基础制作</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7B82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1.现浇钢筋混凝土池独立设备基础，C25预拌混凝土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2.钢筋制作、安装现浇混凝土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3.接地极(板)制作、安裝圆钢接地极普通土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4.接地极镀锌圆钢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5.接地母线敷设户外接地母线敷设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6.地脚螺拴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7.法兰盘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8.人工控沟糟、基坑一、二类土深度在2m内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 回填土夯实机夯实槽、坑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10.人工装卸汽车运土方运距1km 实际</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235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7F1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47BD1">
            <w:pPr>
              <w:jc w:val="left"/>
              <w:rPr>
                <w:rFonts w:hint="eastAsia" w:ascii="宋体" w:hAnsi="宋体" w:eastAsia="宋体" w:cs="宋体"/>
                <w:i w:val="0"/>
                <w:iCs w:val="0"/>
                <w:color w:val="000000"/>
                <w:sz w:val="22"/>
                <w:szCs w:val="22"/>
                <w:u w:val="none"/>
              </w:rPr>
            </w:pPr>
          </w:p>
        </w:tc>
      </w:tr>
      <w:tr w14:paraId="34AADD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6B4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25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355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人行灯杆</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539A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运距(km)：15，H=3.5米,圆形热镀锌，含地笼预埋件</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8CE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12B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F8C6A">
            <w:pPr>
              <w:jc w:val="left"/>
              <w:rPr>
                <w:rFonts w:hint="eastAsia" w:ascii="宋体" w:hAnsi="宋体" w:eastAsia="宋体" w:cs="宋体"/>
                <w:i w:val="0"/>
                <w:iCs w:val="0"/>
                <w:color w:val="000000"/>
                <w:sz w:val="22"/>
                <w:szCs w:val="22"/>
                <w:u w:val="none"/>
              </w:rPr>
            </w:pPr>
          </w:p>
        </w:tc>
      </w:tr>
      <w:tr w14:paraId="7A44F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CF4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26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AAD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人行灯立杆基础制作</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6F43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1.现浇钢筋混凝土池独立设备基础，C25预拌混凝土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2.钢筋制作、安装现浇混凝土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3.接地极(板)制作、安裝圆钢接地极普通土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4.接地极镀锌圆钢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5.接地母线敷设户外接地母线敷设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6.地脚螺拴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7.法兰盘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8.人工控沟糟、基坑一、二类土深度在1m内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 回填土夯实机夯实槽、坑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10.人工装卸汽车运土方运距1km 实际</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FF3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884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691E7">
            <w:pPr>
              <w:jc w:val="left"/>
              <w:rPr>
                <w:rFonts w:hint="eastAsia" w:ascii="宋体" w:hAnsi="宋体" w:eastAsia="宋体" w:cs="宋体"/>
                <w:i w:val="0"/>
                <w:iCs w:val="0"/>
                <w:color w:val="000000"/>
                <w:sz w:val="22"/>
                <w:szCs w:val="22"/>
                <w:u w:val="none"/>
              </w:rPr>
            </w:pPr>
          </w:p>
        </w:tc>
      </w:tr>
      <w:tr w14:paraId="6CF49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C6E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27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993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分线井制作</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9188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运距(km)：15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1.500*500*600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2.钢筋混凝土井盖、井圈制作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3.垫层砂碎石</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28B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9CE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1C696">
            <w:pPr>
              <w:jc w:val="left"/>
              <w:rPr>
                <w:rFonts w:hint="eastAsia" w:ascii="宋体" w:hAnsi="宋体" w:eastAsia="宋体" w:cs="宋体"/>
                <w:i w:val="0"/>
                <w:iCs w:val="0"/>
                <w:color w:val="000000"/>
                <w:sz w:val="22"/>
                <w:szCs w:val="22"/>
                <w:u w:val="none"/>
              </w:rPr>
            </w:pPr>
          </w:p>
        </w:tc>
      </w:tr>
      <w:tr w14:paraId="56E5B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86B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28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FD1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主机箱分线井制作</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96F5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1.800*600*600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2.钢筋混凝土井盖、井圈制作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3.垫层砂碎石</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83B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945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5B86B">
            <w:pPr>
              <w:jc w:val="left"/>
              <w:rPr>
                <w:rFonts w:hint="eastAsia" w:ascii="宋体" w:hAnsi="宋体" w:eastAsia="宋体" w:cs="宋体"/>
                <w:i w:val="0"/>
                <w:iCs w:val="0"/>
                <w:color w:val="000000"/>
                <w:sz w:val="22"/>
                <w:szCs w:val="22"/>
                <w:u w:val="none"/>
              </w:rPr>
            </w:pPr>
          </w:p>
        </w:tc>
      </w:tr>
      <w:tr w14:paraId="74C70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768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29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901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顶管口开挖及恢复</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9DE7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顶管口路面开挖及修复</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972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D1E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A70C1">
            <w:pPr>
              <w:jc w:val="left"/>
              <w:rPr>
                <w:rFonts w:hint="eastAsia" w:ascii="宋体" w:hAnsi="宋体" w:eastAsia="宋体" w:cs="宋体"/>
                <w:i w:val="0"/>
                <w:iCs w:val="0"/>
                <w:color w:val="000000"/>
                <w:sz w:val="22"/>
                <w:szCs w:val="22"/>
                <w:u w:val="none"/>
              </w:rPr>
            </w:pPr>
          </w:p>
        </w:tc>
      </w:tr>
      <w:tr w14:paraId="34F04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013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30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AFD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水平导向钻进牵引管PE管DN110</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B1C3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 水平定向钻牵引塑料管钴孔</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2.管道材质及规格:PE塑料管 DN110*8mm厚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3.连接方式:热熔连接</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36A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FF7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76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B4E52">
            <w:pPr>
              <w:jc w:val="left"/>
              <w:rPr>
                <w:rFonts w:hint="eastAsia" w:ascii="宋体" w:hAnsi="宋体" w:eastAsia="宋体" w:cs="宋体"/>
                <w:i w:val="0"/>
                <w:iCs w:val="0"/>
                <w:color w:val="000000"/>
                <w:sz w:val="22"/>
                <w:szCs w:val="22"/>
                <w:u w:val="none"/>
              </w:rPr>
            </w:pPr>
          </w:p>
        </w:tc>
      </w:tr>
      <w:tr w14:paraId="1B39D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BE2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31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700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367790" cy="188595"/>
                  <wp:effectExtent l="0" t="0" r="0" b="0"/>
                  <wp:wrapNone/>
                  <wp:docPr id="85" name="Text_Box_3"/>
                  <wp:cNvGraphicFramePr/>
                  <a:graphic xmlns:a="http://schemas.openxmlformats.org/drawingml/2006/main">
                    <a:graphicData uri="http://schemas.openxmlformats.org/drawingml/2006/picture">
                      <pic:pic xmlns:pic="http://schemas.openxmlformats.org/drawingml/2006/picture">
                        <pic:nvPicPr>
                          <pic:cNvPr id="85" name="Text_Box_3"/>
                          <pic:cNvPicPr/>
                        </pic:nvPicPr>
                        <pic:blipFill>
                          <a:blip r:embed="rId24"/>
                          <a:stretch>
                            <a:fillRect/>
                          </a:stretch>
                        </pic:blipFill>
                        <pic:spPr>
                          <a:xfrm>
                            <a:off x="0" y="0"/>
                            <a:ext cx="1367790" cy="1885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347470" cy="188595"/>
                  <wp:effectExtent l="0" t="0" r="0" b="0"/>
                  <wp:wrapNone/>
                  <wp:docPr id="104" name="Text_Box_3_SpCnt_1"/>
                  <wp:cNvGraphicFramePr/>
                  <a:graphic xmlns:a="http://schemas.openxmlformats.org/drawingml/2006/main">
                    <a:graphicData uri="http://schemas.openxmlformats.org/drawingml/2006/picture">
                      <pic:pic xmlns:pic="http://schemas.openxmlformats.org/drawingml/2006/picture">
                        <pic:nvPicPr>
                          <pic:cNvPr id="104" name="Text_Box_3_SpCnt_1"/>
                          <pic:cNvPicPr/>
                        </pic:nvPicPr>
                        <pic:blipFill>
                          <a:blip r:embed="rId24"/>
                          <a:stretch>
                            <a:fillRect/>
                          </a:stretch>
                        </pic:blipFill>
                        <pic:spPr>
                          <a:xfrm>
                            <a:off x="0" y="0"/>
                            <a:ext cx="1347470" cy="1885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060450" cy="196215"/>
                  <wp:effectExtent l="0" t="0" r="0" b="0"/>
                  <wp:wrapNone/>
                  <wp:docPr id="88" name="Text_Box_3_SpCnt_2"/>
                  <wp:cNvGraphicFramePr/>
                  <a:graphic xmlns:a="http://schemas.openxmlformats.org/drawingml/2006/main">
                    <a:graphicData uri="http://schemas.openxmlformats.org/drawingml/2006/picture">
                      <pic:pic xmlns:pic="http://schemas.openxmlformats.org/drawingml/2006/picture">
                        <pic:nvPicPr>
                          <pic:cNvPr id="88" name="Text_Box_3_SpCnt_2"/>
                          <pic:cNvPicPr/>
                        </pic:nvPicPr>
                        <pic:blipFill>
                          <a:blip r:embed="rId24"/>
                          <a:stretch>
                            <a:fillRect/>
                          </a:stretch>
                        </pic:blipFill>
                        <pic:spPr>
                          <a:xfrm>
                            <a:off x="0" y="0"/>
                            <a:ext cx="1060450" cy="1962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063625" cy="207645"/>
                  <wp:effectExtent l="0" t="0" r="0" b="0"/>
                  <wp:wrapNone/>
                  <wp:docPr id="86" name="Text_Box_3_SpCnt_3"/>
                  <wp:cNvGraphicFramePr/>
                  <a:graphic xmlns:a="http://schemas.openxmlformats.org/drawingml/2006/main">
                    <a:graphicData uri="http://schemas.openxmlformats.org/drawingml/2006/picture">
                      <pic:pic xmlns:pic="http://schemas.openxmlformats.org/drawingml/2006/picture">
                        <pic:nvPicPr>
                          <pic:cNvPr id="86" name="Text_Box_3_SpCnt_3"/>
                          <pic:cNvPicPr/>
                        </pic:nvPicPr>
                        <pic:blipFill>
                          <a:blip r:embed="rId24"/>
                          <a:stretch>
                            <a:fillRect/>
                          </a:stretch>
                        </pic:blipFill>
                        <pic:spPr>
                          <a:xfrm>
                            <a:off x="0" y="0"/>
                            <a:ext cx="1063625" cy="20764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075690" cy="207645"/>
                  <wp:effectExtent l="0" t="0" r="0" b="0"/>
                  <wp:wrapNone/>
                  <wp:docPr id="89" name="Text_Box_3_SpCnt_4"/>
                  <wp:cNvGraphicFramePr/>
                  <a:graphic xmlns:a="http://schemas.openxmlformats.org/drawingml/2006/main">
                    <a:graphicData uri="http://schemas.openxmlformats.org/drawingml/2006/picture">
                      <pic:pic xmlns:pic="http://schemas.openxmlformats.org/drawingml/2006/picture">
                        <pic:nvPicPr>
                          <pic:cNvPr id="89" name="Text_Box_3_SpCnt_4"/>
                          <pic:cNvPicPr/>
                        </pic:nvPicPr>
                        <pic:blipFill>
                          <a:blip r:embed="rId24"/>
                          <a:stretch>
                            <a:fillRect/>
                          </a:stretch>
                        </pic:blipFill>
                        <pic:spPr>
                          <a:xfrm>
                            <a:off x="0" y="0"/>
                            <a:ext cx="1075690" cy="20764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347470" cy="207645"/>
                  <wp:effectExtent l="0" t="0" r="0" b="0"/>
                  <wp:wrapNone/>
                  <wp:docPr id="102" name="Text_Box_3_SpCnt_5"/>
                  <wp:cNvGraphicFramePr/>
                  <a:graphic xmlns:a="http://schemas.openxmlformats.org/drawingml/2006/main">
                    <a:graphicData uri="http://schemas.openxmlformats.org/drawingml/2006/picture">
                      <pic:pic xmlns:pic="http://schemas.openxmlformats.org/drawingml/2006/picture">
                        <pic:nvPicPr>
                          <pic:cNvPr id="102" name="Text_Box_3_SpCnt_5"/>
                          <pic:cNvPicPr/>
                        </pic:nvPicPr>
                        <pic:blipFill>
                          <a:blip r:embed="rId24"/>
                          <a:stretch>
                            <a:fillRect/>
                          </a:stretch>
                        </pic:blipFill>
                        <pic:spPr>
                          <a:xfrm>
                            <a:off x="0" y="0"/>
                            <a:ext cx="1347470" cy="20764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354455" cy="196215"/>
                  <wp:effectExtent l="0" t="0" r="0" b="0"/>
                  <wp:wrapNone/>
                  <wp:docPr id="90" name="Text_Box_3_SpCnt_6"/>
                  <wp:cNvGraphicFramePr/>
                  <a:graphic xmlns:a="http://schemas.openxmlformats.org/drawingml/2006/main">
                    <a:graphicData uri="http://schemas.openxmlformats.org/drawingml/2006/picture">
                      <pic:pic xmlns:pic="http://schemas.openxmlformats.org/drawingml/2006/picture">
                        <pic:nvPicPr>
                          <pic:cNvPr id="90" name="Text_Box_3_SpCnt_6"/>
                          <pic:cNvPicPr/>
                        </pic:nvPicPr>
                        <pic:blipFill>
                          <a:blip r:embed="rId24"/>
                          <a:stretch>
                            <a:fillRect/>
                          </a:stretch>
                        </pic:blipFill>
                        <pic:spPr>
                          <a:xfrm>
                            <a:off x="0" y="0"/>
                            <a:ext cx="1354455" cy="1962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063625" cy="196215"/>
                  <wp:effectExtent l="0" t="0" r="0" b="0"/>
                  <wp:wrapNone/>
                  <wp:docPr id="95" name="Text_Box_3_SpCnt_7"/>
                  <wp:cNvGraphicFramePr/>
                  <a:graphic xmlns:a="http://schemas.openxmlformats.org/drawingml/2006/main">
                    <a:graphicData uri="http://schemas.openxmlformats.org/drawingml/2006/picture">
                      <pic:pic xmlns:pic="http://schemas.openxmlformats.org/drawingml/2006/picture">
                        <pic:nvPicPr>
                          <pic:cNvPr id="95" name="Text_Box_3_SpCnt_7"/>
                          <pic:cNvPicPr/>
                        </pic:nvPicPr>
                        <pic:blipFill>
                          <a:blip r:embed="rId24"/>
                          <a:stretch>
                            <a:fillRect/>
                          </a:stretch>
                        </pic:blipFill>
                        <pic:spPr>
                          <a:xfrm>
                            <a:off x="0" y="0"/>
                            <a:ext cx="1063625" cy="1962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347470" cy="196215"/>
                  <wp:effectExtent l="0" t="0" r="0" b="0"/>
                  <wp:wrapNone/>
                  <wp:docPr id="93" name="Text_Box_3_SpCnt_8"/>
                  <wp:cNvGraphicFramePr/>
                  <a:graphic xmlns:a="http://schemas.openxmlformats.org/drawingml/2006/main">
                    <a:graphicData uri="http://schemas.openxmlformats.org/drawingml/2006/picture">
                      <pic:pic xmlns:pic="http://schemas.openxmlformats.org/drawingml/2006/picture">
                        <pic:nvPicPr>
                          <pic:cNvPr id="93" name="Text_Box_3_SpCnt_8"/>
                          <pic:cNvPicPr/>
                        </pic:nvPicPr>
                        <pic:blipFill>
                          <a:blip r:embed="rId24"/>
                          <a:stretch>
                            <a:fillRect/>
                          </a:stretch>
                        </pic:blipFill>
                        <pic:spPr>
                          <a:xfrm>
                            <a:off x="0" y="0"/>
                            <a:ext cx="1347470" cy="1962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063625" cy="188595"/>
                  <wp:effectExtent l="0" t="0" r="0" b="0"/>
                  <wp:wrapNone/>
                  <wp:docPr id="87" name="Text_Box_3_SpCnt_9"/>
                  <wp:cNvGraphicFramePr/>
                  <a:graphic xmlns:a="http://schemas.openxmlformats.org/drawingml/2006/main">
                    <a:graphicData uri="http://schemas.openxmlformats.org/drawingml/2006/picture">
                      <pic:pic xmlns:pic="http://schemas.openxmlformats.org/drawingml/2006/picture">
                        <pic:nvPicPr>
                          <pic:cNvPr id="87" name="Text_Box_3_SpCnt_9"/>
                          <pic:cNvPicPr/>
                        </pic:nvPicPr>
                        <pic:blipFill>
                          <a:blip r:embed="rId24"/>
                          <a:stretch>
                            <a:fillRect/>
                          </a:stretch>
                        </pic:blipFill>
                        <pic:spPr>
                          <a:xfrm>
                            <a:off x="0" y="0"/>
                            <a:ext cx="1063625" cy="1885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370330" cy="188595"/>
                  <wp:effectExtent l="0" t="0" r="0" b="0"/>
                  <wp:wrapNone/>
                  <wp:docPr id="94" name="Text_Box_3_SpCnt_10"/>
                  <wp:cNvGraphicFramePr/>
                  <a:graphic xmlns:a="http://schemas.openxmlformats.org/drawingml/2006/main">
                    <a:graphicData uri="http://schemas.openxmlformats.org/drawingml/2006/picture">
                      <pic:pic xmlns:pic="http://schemas.openxmlformats.org/drawingml/2006/picture">
                        <pic:nvPicPr>
                          <pic:cNvPr id="94" name="Text_Box_3_SpCnt_10"/>
                          <pic:cNvPicPr/>
                        </pic:nvPicPr>
                        <pic:blipFill>
                          <a:blip r:embed="rId24"/>
                          <a:stretch>
                            <a:fillRect/>
                          </a:stretch>
                        </pic:blipFill>
                        <pic:spPr>
                          <a:xfrm>
                            <a:off x="0" y="0"/>
                            <a:ext cx="1370330" cy="1885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324610" cy="188595"/>
                  <wp:effectExtent l="0" t="0" r="0" b="0"/>
                  <wp:wrapNone/>
                  <wp:docPr id="91" name="Text_Box_3_SpCnt_11"/>
                  <wp:cNvGraphicFramePr/>
                  <a:graphic xmlns:a="http://schemas.openxmlformats.org/drawingml/2006/main">
                    <a:graphicData uri="http://schemas.openxmlformats.org/drawingml/2006/picture">
                      <pic:pic xmlns:pic="http://schemas.openxmlformats.org/drawingml/2006/picture">
                        <pic:nvPicPr>
                          <pic:cNvPr id="91" name="Text_Box_3_SpCnt_11"/>
                          <pic:cNvPicPr/>
                        </pic:nvPicPr>
                        <pic:blipFill>
                          <a:blip r:embed="rId24"/>
                          <a:stretch>
                            <a:fillRect/>
                          </a:stretch>
                        </pic:blipFill>
                        <pic:spPr>
                          <a:xfrm>
                            <a:off x="0" y="0"/>
                            <a:ext cx="1324610" cy="1885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334770" cy="188595"/>
                  <wp:effectExtent l="0" t="0" r="0" b="0"/>
                  <wp:wrapNone/>
                  <wp:docPr id="96" name="Text_Box_3_SpCnt_12"/>
                  <wp:cNvGraphicFramePr/>
                  <a:graphic xmlns:a="http://schemas.openxmlformats.org/drawingml/2006/main">
                    <a:graphicData uri="http://schemas.openxmlformats.org/drawingml/2006/picture">
                      <pic:pic xmlns:pic="http://schemas.openxmlformats.org/drawingml/2006/picture">
                        <pic:nvPicPr>
                          <pic:cNvPr id="96" name="Text_Box_3_SpCnt_12"/>
                          <pic:cNvPicPr/>
                        </pic:nvPicPr>
                        <pic:blipFill>
                          <a:blip r:embed="rId24"/>
                          <a:stretch>
                            <a:fillRect/>
                          </a:stretch>
                        </pic:blipFill>
                        <pic:spPr>
                          <a:xfrm>
                            <a:off x="0" y="0"/>
                            <a:ext cx="1334770" cy="1885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2070100" cy="163195"/>
                  <wp:effectExtent l="0" t="0" r="0" b="0"/>
                  <wp:wrapNone/>
                  <wp:docPr id="97" name="Text_Box_3_SpCnt_13"/>
                  <wp:cNvGraphicFramePr/>
                  <a:graphic xmlns:a="http://schemas.openxmlformats.org/drawingml/2006/main">
                    <a:graphicData uri="http://schemas.openxmlformats.org/drawingml/2006/picture">
                      <pic:pic xmlns:pic="http://schemas.openxmlformats.org/drawingml/2006/picture">
                        <pic:nvPicPr>
                          <pic:cNvPr id="97" name="Text_Box_3_SpCnt_13"/>
                          <pic:cNvPicPr/>
                        </pic:nvPicPr>
                        <pic:blipFill>
                          <a:blip r:embed="rId25"/>
                          <a:stretch>
                            <a:fillRect/>
                          </a:stretch>
                        </pic:blipFill>
                        <pic:spPr>
                          <a:xfrm>
                            <a:off x="0" y="0"/>
                            <a:ext cx="2070100" cy="1631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2085340" cy="155575"/>
                  <wp:effectExtent l="0" t="0" r="0" b="0"/>
                  <wp:wrapNone/>
                  <wp:docPr id="98" name="Text_Box_3_SpCnt_14"/>
                  <wp:cNvGraphicFramePr/>
                  <a:graphic xmlns:a="http://schemas.openxmlformats.org/drawingml/2006/main">
                    <a:graphicData uri="http://schemas.openxmlformats.org/drawingml/2006/picture">
                      <pic:pic xmlns:pic="http://schemas.openxmlformats.org/drawingml/2006/picture">
                        <pic:nvPicPr>
                          <pic:cNvPr id="98" name="Text_Box_3_SpCnt_14"/>
                          <pic:cNvPicPr/>
                        </pic:nvPicPr>
                        <pic:blipFill>
                          <a:blip r:embed="rId25"/>
                          <a:stretch>
                            <a:fillRect/>
                          </a:stretch>
                        </pic:blipFill>
                        <pic:spPr>
                          <a:xfrm>
                            <a:off x="0" y="0"/>
                            <a:ext cx="2085340" cy="1555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377950" cy="188595"/>
                  <wp:effectExtent l="0" t="0" r="0" b="0"/>
                  <wp:wrapNone/>
                  <wp:docPr id="92" name="Text_Box_3_SpCnt_15"/>
                  <wp:cNvGraphicFramePr/>
                  <a:graphic xmlns:a="http://schemas.openxmlformats.org/drawingml/2006/main">
                    <a:graphicData uri="http://schemas.openxmlformats.org/drawingml/2006/picture">
                      <pic:pic xmlns:pic="http://schemas.openxmlformats.org/drawingml/2006/picture">
                        <pic:nvPicPr>
                          <pic:cNvPr id="92" name="Text_Box_3_SpCnt_15"/>
                          <pic:cNvPicPr/>
                        </pic:nvPicPr>
                        <pic:blipFill>
                          <a:blip r:embed="rId24"/>
                          <a:stretch>
                            <a:fillRect/>
                          </a:stretch>
                        </pic:blipFill>
                        <pic:spPr>
                          <a:xfrm>
                            <a:off x="0" y="0"/>
                            <a:ext cx="1377950" cy="1885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2085340" cy="163195"/>
                  <wp:effectExtent l="0" t="0" r="0" b="0"/>
                  <wp:wrapNone/>
                  <wp:docPr id="84" name="Text_Box_3_SpCnt_16"/>
                  <wp:cNvGraphicFramePr/>
                  <a:graphic xmlns:a="http://schemas.openxmlformats.org/drawingml/2006/main">
                    <a:graphicData uri="http://schemas.openxmlformats.org/drawingml/2006/picture">
                      <pic:pic xmlns:pic="http://schemas.openxmlformats.org/drawingml/2006/picture">
                        <pic:nvPicPr>
                          <pic:cNvPr id="84" name="Text_Box_3_SpCnt_16"/>
                          <pic:cNvPicPr/>
                        </pic:nvPicPr>
                        <pic:blipFill>
                          <a:blip r:embed="rId25"/>
                          <a:stretch>
                            <a:fillRect/>
                          </a:stretch>
                        </pic:blipFill>
                        <pic:spPr>
                          <a:xfrm>
                            <a:off x="0" y="0"/>
                            <a:ext cx="2085340" cy="1631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2069465" cy="163195"/>
                  <wp:effectExtent l="0" t="0" r="0" b="0"/>
                  <wp:wrapNone/>
                  <wp:docPr id="99" name="Text_Box_3_SpCnt_17"/>
                  <wp:cNvGraphicFramePr/>
                  <a:graphic xmlns:a="http://schemas.openxmlformats.org/drawingml/2006/main">
                    <a:graphicData uri="http://schemas.openxmlformats.org/drawingml/2006/picture">
                      <pic:pic xmlns:pic="http://schemas.openxmlformats.org/drawingml/2006/picture">
                        <pic:nvPicPr>
                          <pic:cNvPr id="99" name="Text_Box_3_SpCnt_17"/>
                          <pic:cNvPicPr/>
                        </pic:nvPicPr>
                        <pic:blipFill>
                          <a:blip r:embed="rId25"/>
                          <a:stretch>
                            <a:fillRect/>
                          </a:stretch>
                        </pic:blipFill>
                        <pic:spPr>
                          <a:xfrm>
                            <a:off x="0" y="0"/>
                            <a:ext cx="2069465" cy="1631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2061845" cy="155575"/>
                  <wp:effectExtent l="0" t="0" r="0" b="0"/>
                  <wp:wrapNone/>
                  <wp:docPr id="100" name="Text_Box_3_SpCnt_18"/>
                  <wp:cNvGraphicFramePr/>
                  <a:graphic xmlns:a="http://schemas.openxmlformats.org/drawingml/2006/main">
                    <a:graphicData uri="http://schemas.openxmlformats.org/drawingml/2006/picture">
                      <pic:pic xmlns:pic="http://schemas.openxmlformats.org/drawingml/2006/picture">
                        <pic:nvPicPr>
                          <pic:cNvPr id="100" name="Text_Box_3_SpCnt_18"/>
                          <pic:cNvPicPr/>
                        </pic:nvPicPr>
                        <pic:blipFill>
                          <a:blip r:embed="rId25"/>
                          <a:stretch>
                            <a:fillRect/>
                          </a:stretch>
                        </pic:blipFill>
                        <pic:spPr>
                          <a:xfrm>
                            <a:off x="0" y="0"/>
                            <a:ext cx="2061845" cy="1555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2072640" cy="163195"/>
                  <wp:effectExtent l="0" t="0" r="0" b="0"/>
                  <wp:wrapNone/>
                  <wp:docPr id="101" name="Text_Box_3_SpCnt_19"/>
                  <wp:cNvGraphicFramePr/>
                  <a:graphic xmlns:a="http://schemas.openxmlformats.org/drawingml/2006/main">
                    <a:graphicData uri="http://schemas.openxmlformats.org/drawingml/2006/picture">
                      <pic:pic xmlns:pic="http://schemas.openxmlformats.org/drawingml/2006/picture">
                        <pic:nvPicPr>
                          <pic:cNvPr id="101" name="Text_Box_3_SpCnt_19"/>
                          <pic:cNvPicPr/>
                        </pic:nvPicPr>
                        <pic:blipFill>
                          <a:blip r:embed="rId25"/>
                          <a:stretch>
                            <a:fillRect/>
                          </a:stretch>
                        </pic:blipFill>
                        <pic:spPr>
                          <a:xfrm>
                            <a:off x="0" y="0"/>
                            <a:ext cx="2072640" cy="1631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075690" cy="188595"/>
                  <wp:effectExtent l="0" t="0" r="0" b="0"/>
                  <wp:wrapNone/>
                  <wp:docPr id="103" name="Text_Box_3_SpCnt_20"/>
                  <wp:cNvGraphicFramePr/>
                  <a:graphic xmlns:a="http://schemas.openxmlformats.org/drawingml/2006/main">
                    <a:graphicData uri="http://schemas.openxmlformats.org/drawingml/2006/picture">
                      <pic:pic xmlns:pic="http://schemas.openxmlformats.org/drawingml/2006/picture">
                        <pic:nvPicPr>
                          <pic:cNvPr id="103" name="Text_Box_3_SpCnt_20"/>
                          <pic:cNvPicPr/>
                        </pic:nvPicPr>
                        <pic:blipFill>
                          <a:blip r:embed="rId24"/>
                          <a:stretch>
                            <a:fillRect/>
                          </a:stretch>
                        </pic:blipFill>
                        <pic:spPr>
                          <a:xfrm>
                            <a:off x="0" y="0"/>
                            <a:ext cx="1075690" cy="1885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365250" cy="188595"/>
                  <wp:effectExtent l="0" t="0" r="0" b="0"/>
                  <wp:wrapNone/>
                  <wp:docPr id="45" name="Text_Box_3_SpCnt_21"/>
                  <wp:cNvGraphicFramePr/>
                  <a:graphic xmlns:a="http://schemas.openxmlformats.org/drawingml/2006/main">
                    <a:graphicData uri="http://schemas.openxmlformats.org/drawingml/2006/picture">
                      <pic:pic xmlns:pic="http://schemas.openxmlformats.org/drawingml/2006/picture">
                        <pic:nvPicPr>
                          <pic:cNvPr id="45" name="Text_Box_3_SpCnt_21"/>
                          <pic:cNvPicPr/>
                        </pic:nvPicPr>
                        <pic:blipFill>
                          <a:blip r:embed="rId24"/>
                          <a:stretch>
                            <a:fillRect/>
                          </a:stretch>
                        </pic:blipFill>
                        <pic:spPr>
                          <a:xfrm>
                            <a:off x="0" y="0"/>
                            <a:ext cx="1365250" cy="1885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1060450" cy="188595"/>
                  <wp:effectExtent l="0" t="0" r="0" b="0"/>
                  <wp:wrapNone/>
                  <wp:docPr id="2" name="Text_Box_3_SpCnt_22"/>
                  <wp:cNvGraphicFramePr/>
                  <a:graphic xmlns:a="http://schemas.openxmlformats.org/drawingml/2006/main">
                    <a:graphicData uri="http://schemas.openxmlformats.org/drawingml/2006/picture">
                      <pic:pic xmlns:pic="http://schemas.openxmlformats.org/drawingml/2006/picture">
                        <pic:nvPicPr>
                          <pic:cNvPr id="2" name="Text_Box_3_SpCnt_22"/>
                          <pic:cNvPicPr/>
                        </pic:nvPicPr>
                        <pic:blipFill>
                          <a:blip r:embed="rId24"/>
                          <a:stretch>
                            <a:fillRect/>
                          </a:stretch>
                        </pic:blipFill>
                        <pic:spPr>
                          <a:xfrm>
                            <a:off x="0" y="0"/>
                            <a:ext cx="1060450" cy="1885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2100580" cy="147955"/>
                  <wp:effectExtent l="0" t="0" r="0" b="0"/>
                  <wp:wrapNone/>
                  <wp:docPr id="38" name="Text_Box_3_SpCnt_23"/>
                  <wp:cNvGraphicFramePr/>
                  <a:graphic xmlns:a="http://schemas.openxmlformats.org/drawingml/2006/main">
                    <a:graphicData uri="http://schemas.openxmlformats.org/drawingml/2006/picture">
                      <pic:pic xmlns:pic="http://schemas.openxmlformats.org/drawingml/2006/picture">
                        <pic:nvPicPr>
                          <pic:cNvPr id="38" name="Text_Box_3_SpCnt_23"/>
                          <pic:cNvPicPr/>
                        </pic:nvPicPr>
                        <pic:blipFill>
                          <a:blip r:embed="rId25"/>
                          <a:stretch>
                            <a:fillRect/>
                          </a:stretch>
                        </pic:blipFill>
                        <pic:spPr>
                          <a:xfrm>
                            <a:off x="0" y="0"/>
                            <a:ext cx="2100580" cy="1479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2092960" cy="147955"/>
                  <wp:effectExtent l="0" t="0" r="0" b="0"/>
                  <wp:wrapNone/>
                  <wp:docPr id="44" name="Text_Box_3_SpCnt_24"/>
                  <wp:cNvGraphicFramePr/>
                  <a:graphic xmlns:a="http://schemas.openxmlformats.org/drawingml/2006/main">
                    <a:graphicData uri="http://schemas.openxmlformats.org/drawingml/2006/picture">
                      <pic:pic xmlns:pic="http://schemas.openxmlformats.org/drawingml/2006/picture">
                        <pic:nvPicPr>
                          <pic:cNvPr id="44" name="Text_Box_3_SpCnt_24"/>
                          <pic:cNvPicPr/>
                        </pic:nvPicPr>
                        <pic:blipFill>
                          <a:blip r:embed="rId25"/>
                          <a:stretch>
                            <a:fillRect/>
                          </a:stretch>
                        </pic:blipFill>
                        <pic:spPr>
                          <a:xfrm>
                            <a:off x="0" y="0"/>
                            <a:ext cx="2092960" cy="1479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2443480" cy="163195"/>
                  <wp:effectExtent l="0" t="0" r="0" b="0"/>
                  <wp:wrapNone/>
                  <wp:docPr id="3" name="Text_Box_3_SpCnt_25"/>
                  <wp:cNvGraphicFramePr/>
                  <a:graphic xmlns:a="http://schemas.openxmlformats.org/drawingml/2006/main">
                    <a:graphicData uri="http://schemas.openxmlformats.org/drawingml/2006/picture">
                      <pic:pic xmlns:pic="http://schemas.openxmlformats.org/drawingml/2006/picture">
                        <pic:nvPicPr>
                          <pic:cNvPr id="3" name="Text_Box_3_SpCnt_25"/>
                          <pic:cNvPicPr/>
                        </pic:nvPicPr>
                        <pic:blipFill>
                          <a:blip r:embed="rId25"/>
                          <a:stretch>
                            <a:fillRect/>
                          </a:stretch>
                        </pic:blipFill>
                        <pic:spPr>
                          <a:xfrm>
                            <a:off x="0" y="0"/>
                            <a:ext cx="2443480" cy="1631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2087880" cy="163195"/>
                  <wp:effectExtent l="0" t="0" r="0" b="0"/>
                  <wp:wrapNone/>
                  <wp:docPr id="39" name="Text_Box_3_SpCnt_26"/>
                  <wp:cNvGraphicFramePr/>
                  <a:graphic xmlns:a="http://schemas.openxmlformats.org/drawingml/2006/main">
                    <a:graphicData uri="http://schemas.openxmlformats.org/drawingml/2006/picture">
                      <pic:pic xmlns:pic="http://schemas.openxmlformats.org/drawingml/2006/picture">
                        <pic:nvPicPr>
                          <pic:cNvPr id="39" name="Text_Box_3_SpCnt_26"/>
                          <pic:cNvPicPr/>
                        </pic:nvPicPr>
                        <pic:blipFill>
                          <a:blip r:embed="rId25"/>
                          <a:stretch>
                            <a:fillRect/>
                          </a:stretch>
                        </pic:blipFill>
                        <pic:spPr>
                          <a:xfrm>
                            <a:off x="0" y="0"/>
                            <a:ext cx="2087880" cy="1631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428625" cy="213995"/>
                  <wp:effectExtent l="0" t="0" r="0" b="0"/>
                  <wp:wrapNone/>
                  <wp:docPr id="4" name="Text_Box_3_SpCnt_27"/>
                  <wp:cNvGraphicFramePr/>
                  <a:graphic xmlns:a="http://schemas.openxmlformats.org/drawingml/2006/main">
                    <a:graphicData uri="http://schemas.openxmlformats.org/drawingml/2006/picture">
                      <pic:pic xmlns:pic="http://schemas.openxmlformats.org/drawingml/2006/picture">
                        <pic:nvPicPr>
                          <pic:cNvPr id="4" name="Text_Box_3_SpCnt_27"/>
                          <pic:cNvPicPr/>
                        </pic:nvPicPr>
                        <pic:blipFill>
                          <a:blip r:embed="rId24"/>
                          <a:stretch>
                            <a:fillRect/>
                          </a:stretch>
                        </pic:blipFill>
                        <pic:spPr>
                          <a:xfrm>
                            <a:off x="0" y="0"/>
                            <a:ext cx="428625" cy="2139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2105660" cy="155575"/>
                  <wp:effectExtent l="0" t="0" r="0" b="0"/>
                  <wp:wrapNone/>
                  <wp:docPr id="48" name="Text_Box_3_SpCnt_28"/>
                  <wp:cNvGraphicFramePr/>
                  <a:graphic xmlns:a="http://schemas.openxmlformats.org/drawingml/2006/main">
                    <a:graphicData uri="http://schemas.openxmlformats.org/drawingml/2006/picture">
                      <pic:pic xmlns:pic="http://schemas.openxmlformats.org/drawingml/2006/picture">
                        <pic:nvPicPr>
                          <pic:cNvPr id="48" name="Text_Box_3_SpCnt_28"/>
                          <pic:cNvPicPr/>
                        </pic:nvPicPr>
                        <pic:blipFill>
                          <a:blip r:embed="rId25"/>
                          <a:stretch>
                            <a:fillRect/>
                          </a:stretch>
                        </pic:blipFill>
                        <pic:spPr>
                          <a:xfrm>
                            <a:off x="0" y="0"/>
                            <a:ext cx="2105660" cy="1555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2460625" cy="155575"/>
                  <wp:effectExtent l="0" t="0" r="0" b="0"/>
                  <wp:wrapNone/>
                  <wp:docPr id="32" name="Text_Box_3_SpCnt_29"/>
                  <wp:cNvGraphicFramePr/>
                  <a:graphic xmlns:a="http://schemas.openxmlformats.org/drawingml/2006/main">
                    <a:graphicData uri="http://schemas.openxmlformats.org/drawingml/2006/picture">
                      <pic:pic xmlns:pic="http://schemas.openxmlformats.org/drawingml/2006/picture">
                        <pic:nvPicPr>
                          <pic:cNvPr id="32" name="Text_Box_3_SpCnt_29"/>
                          <pic:cNvPicPr/>
                        </pic:nvPicPr>
                        <pic:blipFill>
                          <a:blip r:embed="rId25"/>
                          <a:stretch>
                            <a:fillRect/>
                          </a:stretch>
                        </pic:blipFill>
                        <pic:spPr>
                          <a:xfrm>
                            <a:off x="0" y="0"/>
                            <a:ext cx="2460625" cy="1555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428625" cy="223520"/>
                  <wp:effectExtent l="0" t="0" r="0" b="0"/>
                  <wp:wrapNone/>
                  <wp:docPr id="42" name="Text_Box_3_SpCnt_30"/>
                  <wp:cNvGraphicFramePr/>
                  <a:graphic xmlns:a="http://schemas.openxmlformats.org/drawingml/2006/main">
                    <a:graphicData uri="http://schemas.openxmlformats.org/drawingml/2006/picture">
                      <pic:pic xmlns:pic="http://schemas.openxmlformats.org/drawingml/2006/picture">
                        <pic:nvPicPr>
                          <pic:cNvPr id="42" name="Text_Box_3_SpCnt_30"/>
                          <pic:cNvPicPr/>
                        </pic:nvPicPr>
                        <pic:blipFill>
                          <a:blip r:embed="rId25"/>
                          <a:stretch>
                            <a:fillRect/>
                          </a:stretch>
                        </pic:blipFill>
                        <pic:spPr>
                          <a:xfrm>
                            <a:off x="0" y="0"/>
                            <a:ext cx="428625" cy="2235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人行道开挖与恢复</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5DBE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07820" cy="240030"/>
                  <wp:effectExtent l="0" t="0" r="0" b="0"/>
                  <wp:wrapNone/>
                  <wp:docPr id="49" name="Text_Box_3_SpCnt_31"/>
                  <wp:cNvGraphicFramePr/>
                  <a:graphic xmlns:a="http://schemas.openxmlformats.org/drawingml/2006/main">
                    <a:graphicData uri="http://schemas.openxmlformats.org/drawingml/2006/picture">
                      <pic:pic xmlns:pic="http://schemas.openxmlformats.org/drawingml/2006/picture">
                        <pic:nvPicPr>
                          <pic:cNvPr id="49" name="Text_Box_3_SpCnt_31"/>
                          <pic:cNvPicPr/>
                        </pic:nvPicPr>
                        <pic:blipFill>
                          <a:blip r:embed="rId24"/>
                          <a:stretch>
                            <a:fillRect/>
                          </a:stretch>
                        </pic:blipFill>
                        <pic:spPr>
                          <a:xfrm>
                            <a:off x="0" y="0"/>
                            <a:ext cx="1607820" cy="2400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858010" cy="212090"/>
                  <wp:effectExtent l="0" t="0" r="0" b="0"/>
                  <wp:wrapNone/>
                  <wp:docPr id="29" name="Text_Box_3_SpCnt_32"/>
                  <wp:cNvGraphicFramePr/>
                  <a:graphic xmlns:a="http://schemas.openxmlformats.org/drawingml/2006/main">
                    <a:graphicData uri="http://schemas.openxmlformats.org/drawingml/2006/picture">
                      <pic:pic xmlns:pic="http://schemas.openxmlformats.org/drawingml/2006/picture">
                        <pic:nvPicPr>
                          <pic:cNvPr id="29" name="Text_Box_3_SpCnt_32"/>
                          <pic:cNvPicPr/>
                        </pic:nvPicPr>
                        <pic:blipFill>
                          <a:blip r:embed="rId24"/>
                          <a:stretch>
                            <a:fillRect/>
                          </a:stretch>
                        </pic:blipFill>
                        <pic:spPr>
                          <a:xfrm>
                            <a:off x="0" y="0"/>
                            <a:ext cx="1858010" cy="2120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9880" cy="200025"/>
                  <wp:effectExtent l="0" t="0" r="0" b="0"/>
                  <wp:wrapNone/>
                  <wp:docPr id="41" name="Text_Box_3_SpCnt_33"/>
                  <wp:cNvGraphicFramePr/>
                  <a:graphic xmlns:a="http://schemas.openxmlformats.org/drawingml/2006/main">
                    <a:graphicData uri="http://schemas.openxmlformats.org/drawingml/2006/picture">
                      <pic:pic xmlns:pic="http://schemas.openxmlformats.org/drawingml/2006/picture">
                        <pic:nvPicPr>
                          <pic:cNvPr id="41" name="Text_Box_3_SpCnt_33"/>
                          <pic:cNvPicPr/>
                        </pic:nvPicPr>
                        <pic:blipFill>
                          <a:blip r:embed="rId24"/>
                          <a:stretch>
                            <a:fillRect/>
                          </a:stretch>
                        </pic:blipFill>
                        <pic:spPr>
                          <a:xfrm>
                            <a:off x="0" y="0"/>
                            <a:ext cx="309880" cy="2000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9880" cy="215900"/>
                  <wp:effectExtent l="0" t="0" r="0" b="0"/>
                  <wp:wrapNone/>
                  <wp:docPr id="9" name="Text_Box_3_SpCnt_34"/>
                  <wp:cNvGraphicFramePr/>
                  <a:graphic xmlns:a="http://schemas.openxmlformats.org/drawingml/2006/main">
                    <a:graphicData uri="http://schemas.openxmlformats.org/drawingml/2006/picture">
                      <pic:pic xmlns:pic="http://schemas.openxmlformats.org/drawingml/2006/picture">
                        <pic:nvPicPr>
                          <pic:cNvPr id="9" name="Text_Box_3_SpCnt_34"/>
                          <pic:cNvPicPr/>
                        </pic:nvPicPr>
                        <pic:blipFill>
                          <a:blip r:embed="rId24"/>
                          <a:stretch>
                            <a:fillRect/>
                          </a:stretch>
                        </pic:blipFill>
                        <pic:spPr>
                          <a:xfrm>
                            <a:off x="0" y="0"/>
                            <a:ext cx="309880" cy="2159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07820" cy="201930"/>
                  <wp:effectExtent l="0" t="0" r="0" b="0"/>
                  <wp:wrapNone/>
                  <wp:docPr id="40" name="Text_Box_3_SpCnt_35"/>
                  <wp:cNvGraphicFramePr/>
                  <a:graphic xmlns:a="http://schemas.openxmlformats.org/drawingml/2006/main">
                    <a:graphicData uri="http://schemas.openxmlformats.org/drawingml/2006/picture">
                      <pic:pic xmlns:pic="http://schemas.openxmlformats.org/drawingml/2006/picture">
                        <pic:nvPicPr>
                          <pic:cNvPr id="40" name="Text_Box_3_SpCnt_35"/>
                          <pic:cNvPicPr/>
                        </pic:nvPicPr>
                        <pic:blipFill>
                          <a:blip r:embed="rId24"/>
                          <a:stretch>
                            <a:fillRect/>
                          </a:stretch>
                        </pic:blipFill>
                        <pic:spPr>
                          <a:xfrm>
                            <a:off x="0" y="0"/>
                            <a:ext cx="1607820" cy="2019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860550" cy="213995"/>
                  <wp:effectExtent l="0" t="0" r="0" b="0"/>
                  <wp:wrapNone/>
                  <wp:docPr id="43" name="Text_Box_3_SpCnt_36"/>
                  <wp:cNvGraphicFramePr/>
                  <a:graphic xmlns:a="http://schemas.openxmlformats.org/drawingml/2006/main">
                    <a:graphicData uri="http://schemas.openxmlformats.org/drawingml/2006/picture">
                      <pic:pic xmlns:pic="http://schemas.openxmlformats.org/drawingml/2006/picture">
                        <pic:nvPicPr>
                          <pic:cNvPr id="43" name="Text_Box_3_SpCnt_36"/>
                          <pic:cNvPicPr/>
                        </pic:nvPicPr>
                        <pic:blipFill>
                          <a:blip r:embed="rId24"/>
                          <a:stretch>
                            <a:fillRect/>
                          </a:stretch>
                        </pic:blipFill>
                        <pic:spPr>
                          <a:xfrm>
                            <a:off x="0" y="0"/>
                            <a:ext cx="1860550" cy="2139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00200" cy="226695"/>
                  <wp:effectExtent l="0" t="0" r="0" b="0"/>
                  <wp:wrapNone/>
                  <wp:docPr id="34" name="Text_Box_3_SpCnt_37"/>
                  <wp:cNvGraphicFramePr/>
                  <a:graphic xmlns:a="http://schemas.openxmlformats.org/drawingml/2006/main">
                    <a:graphicData uri="http://schemas.openxmlformats.org/drawingml/2006/picture">
                      <pic:pic xmlns:pic="http://schemas.openxmlformats.org/drawingml/2006/picture">
                        <pic:nvPicPr>
                          <pic:cNvPr id="34" name="Text_Box_3_SpCnt_37"/>
                          <pic:cNvPicPr/>
                        </pic:nvPicPr>
                        <pic:blipFill>
                          <a:blip r:embed="rId24"/>
                          <a:stretch>
                            <a:fillRect/>
                          </a:stretch>
                        </pic:blipFill>
                        <pic:spPr>
                          <a:xfrm>
                            <a:off x="0" y="0"/>
                            <a:ext cx="1600200" cy="2266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07820" cy="224790"/>
                  <wp:effectExtent l="0" t="0" r="0" b="0"/>
                  <wp:wrapNone/>
                  <wp:docPr id="46" name="Text_Box_3_SpCnt_38"/>
                  <wp:cNvGraphicFramePr/>
                  <a:graphic xmlns:a="http://schemas.openxmlformats.org/drawingml/2006/main">
                    <a:graphicData uri="http://schemas.openxmlformats.org/drawingml/2006/picture">
                      <pic:pic xmlns:pic="http://schemas.openxmlformats.org/drawingml/2006/picture">
                        <pic:nvPicPr>
                          <pic:cNvPr id="46" name="Text_Box_3_SpCnt_38"/>
                          <pic:cNvPicPr/>
                        </pic:nvPicPr>
                        <pic:blipFill>
                          <a:blip r:embed="rId24"/>
                          <a:stretch>
                            <a:fillRect/>
                          </a:stretch>
                        </pic:blipFill>
                        <pic:spPr>
                          <a:xfrm>
                            <a:off x="0" y="0"/>
                            <a:ext cx="1607820" cy="2247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868170" cy="212090"/>
                  <wp:effectExtent l="0" t="0" r="0" b="0"/>
                  <wp:wrapNone/>
                  <wp:docPr id="50" name="Text_Box_3_SpCnt_39"/>
                  <wp:cNvGraphicFramePr/>
                  <a:graphic xmlns:a="http://schemas.openxmlformats.org/drawingml/2006/main">
                    <a:graphicData uri="http://schemas.openxmlformats.org/drawingml/2006/picture">
                      <pic:pic xmlns:pic="http://schemas.openxmlformats.org/drawingml/2006/picture">
                        <pic:nvPicPr>
                          <pic:cNvPr id="50" name="Text_Box_3_SpCnt_39"/>
                          <pic:cNvPicPr/>
                        </pic:nvPicPr>
                        <pic:blipFill>
                          <a:blip r:embed="rId24"/>
                          <a:stretch>
                            <a:fillRect/>
                          </a:stretch>
                        </pic:blipFill>
                        <pic:spPr>
                          <a:xfrm>
                            <a:off x="0" y="0"/>
                            <a:ext cx="1868170" cy="2120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07820" cy="217170"/>
                  <wp:effectExtent l="0" t="0" r="0" b="0"/>
                  <wp:wrapNone/>
                  <wp:docPr id="30" name="Text_Box_3_SpCnt_40"/>
                  <wp:cNvGraphicFramePr/>
                  <a:graphic xmlns:a="http://schemas.openxmlformats.org/drawingml/2006/main">
                    <a:graphicData uri="http://schemas.openxmlformats.org/drawingml/2006/picture">
                      <pic:pic xmlns:pic="http://schemas.openxmlformats.org/drawingml/2006/picture">
                        <pic:nvPicPr>
                          <pic:cNvPr id="30" name="Text_Box_3_SpCnt_40"/>
                          <pic:cNvPicPr/>
                        </pic:nvPicPr>
                        <pic:blipFill>
                          <a:blip r:embed="rId24"/>
                          <a:stretch>
                            <a:fillRect/>
                          </a:stretch>
                        </pic:blipFill>
                        <pic:spPr>
                          <a:xfrm>
                            <a:off x="0" y="0"/>
                            <a:ext cx="1607820" cy="21717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2895" cy="206375"/>
                  <wp:effectExtent l="0" t="0" r="0" b="0"/>
                  <wp:wrapNone/>
                  <wp:docPr id="27" name="Text_Box_3_SpCnt_41"/>
                  <wp:cNvGraphicFramePr/>
                  <a:graphic xmlns:a="http://schemas.openxmlformats.org/drawingml/2006/main">
                    <a:graphicData uri="http://schemas.openxmlformats.org/drawingml/2006/picture">
                      <pic:pic xmlns:pic="http://schemas.openxmlformats.org/drawingml/2006/picture">
                        <pic:nvPicPr>
                          <pic:cNvPr id="27" name="Text_Box_3_SpCnt_41"/>
                          <pic:cNvPicPr/>
                        </pic:nvPicPr>
                        <pic:blipFill>
                          <a:blip r:embed="rId24"/>
                          <a:stretch>
                            <a:fillRect/>
                          </a:stretch>
                        </pic:blipFill>
                        <pic:spPr>
                          <a:xfrm>
                            <a:off x="0" y="0"/>
                            <a:ext cx="302895" cy="2063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735" cy="161925"/>
                  <wp:effectExtent l="0" t="0" r="0" b="0"/>
                  <wp:wrapNone/>
                  <wp:docPr id="1" name="Text_Box_3_SpCnt_42"/>
                  <wp:cNvGraphicFramePr/>
                  <a:graphic xmlns:a="http://schemas.openxmlformats.org/drawingml/2006/main">
                    <a:graphicData uri="http://schemas.openxmlformats.org/drawingml/2006/picture">
                      <pic:pic xmlns:pic="http://schemas.openxmlformats.org/drawingml/2006/picture">
                        <pic:nvPicPr>
                          <pic:cNvPr id="1" name="Text_Box_3_SpCnt_42"/>
                          <pic:cNvPicPr/>
                        </pic:nvPicPr>
                        <pic:blipFill>
                          <a:blip r:embed="rId24"/>
                          <a:stretch>
                            <a:fillRect/>
                          </a:stretch>
                        </pic:blipFill>
                        <pic:spPr>
                          <a:xfrm>
                            <a:off x="0" y="0"/>
                            <a:ext cx="292735" cy="1619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9880" cy="180975"/>
                  <wp:effectExtent l="0" t="0" r="0" b="0"/>
                  <wp:wrapNone/>
                  <wp:docPr id="37" name="Text_Box_3_SpCnt_43"/>
                  <wp:cNvGraphicFramePr/>
                  <a:graphic xmlns:a="http://schemas.openxmlformats.org/drawingml/2006/main">
                    <a:graphicData uri="http://schemas.openxmlformats.org/drawingml/2006/picture">
                      <pic:pic xmlns:pic="http://schemas.openxmlformats.org/drawingml/2006/picture">
                        <pic:nvPicPr>
                          <pic:cNvPr id="37" name="Text_Box_3_SpCnt_43"/>
                          <pic:cNvPicPr/>
                        </pic:nvPicPr>
                        <pic:blipFill>
                          <a:blip r:embed="rId24"/>
                          <a:stretch>
                            <a:fillRect/>
                          </a:stretch>
                        </pic:blipFill>
                        <pic:spPr>
                          <a:xfrm>
                            <a:off x="0" y="0"/>
                            <a:ext cx="309880" cy="1809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0355" cy="161925"/>
                  <wp:effectExtent l="0" t="0" r="0" b="0"/>
                  <wp:wrapNone/>
                  <wp:docPr id="35" name="Text_Box_3_SpCnt_44"/>
                  <wp:cNvGraphicFramePr/>
                  <a:graphic xmlns:a="http://schemas.openxmlformats.org/drawingml/2006/main">
                    <a:graphicData uri="http://schemas.openxmlformats.org/drawingml/2006/picture">
                      <pic:pic xmlns:pic="http://schemas.openxmlformats.org/drawingml/2006/picture">
                        <pic:nvPicPr>
                          <pic:cNvPr id="35" name="Text_Box_3_SpCnt_44"/>
                          <pic:cNvPicPr/>
                        </pic:nvPicPr>
                        <pic:blipFill>
                          <a:blip r:embed="rId24"/>
                          <a:stretch>
                            <a:fillRect/>
                          </a:stretch>
                        </pic:blipFill>
                        <pic:spPr>
                          <a:xfrm>
                            <a:off x="0" y="0"/>
                            <a:ext cx="300355" cy="16192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9880" cy="206375"/>
                  <wp:effectExtent l="0" t="0" r="0" b="0"/>
                  <wp:wrapNone/>
                  <wp:docPr id="26" name="Text_Box_3_SpCnt_45"/>
                  <wp:cNvGraphicFramePr/>
                  <a:graphic xmlns:a="http://schemas.openxmlformats.org/drawingml/2006/main">
                    <a:graphicData uri="http://schemas.openxmlformats.org/drawingml/2006/picture">
                      <pic:pic xmlns:pic="http://schemas.openxmlformats.org/drawingml/2006/picture">
                        <pic:nvPicPr>
                          <pic:cNvPr id="26" name="Text_Box_3_SpCnt_45"/>
                          <pic:cNvPicPr/>
                        </pic:nvPicPr>
                        <pic:blipFill>
                          <a:blip r:embed="rId24"/>
                          <a:stretch>
                            <a:fillRect/>
                          </a:stretch>
                        </pic:blipFill>
                        <pic:spPr>
                          <a:xfrm>
                            <a:off x="0" y="0"/>
                            <a:ext cx="309880" cy="2063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00200" cy="217170"/>
                  <wp:effectExtent l="0" t="0" r="0" b="0"/>
                  <wp:wrapNone/>
                  <wp:docPr id="47" name="Text_Box_3_SpCnt_46"/>
                  <wp:cNvGraphicFramePr/>
                  <a:graphic xmlns:a="http://schemas.openxmlformats.org/drawingml/2006/main">
                    <a:graphicData uri="http://schemas.openxmlformats.org/drawingml/2006/picture">
                      <pic:pic xmlns:pic="http://schemas.openxmlformats.org/drawingml/2006/picture">
                        <pic:nvPicPr>
                          <pic:cNvPr id="47" name="Text_Box_3_SpCnt_46"/>
                          <pic:cNvPicPr/>
                        </pic:nvPicPr>
                        <pic:blipFill>
                          <a:blip r:embed="rId24"/>
                          <a:stretch>
                            <a:fillRect/>
                          </a:stretch>
                        </pic:blipFill>
                        <pic:spPr>
                          <a:xfrm>
                            <a:off x="0" y="0"/>
                            <a:ext cx="1600200" cy="21717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860550" cy="204470"/>
                  <wp:effectExtent l="0" t="0" r="0" b="0"/>
                  <wp:wrapNone/>
                  <wp:docPr id="28" name="Text_Box_3_SpCnt_47"/>
                  <wp:cNvGraphicFramePr/>
                  <a:graphic xmlns:a="http://schemas.openxmlformats.org/drawingml/2006/main">
                    <a:graphicData uri="http://schemas.openxmlformats.org/drawingml/2006/picture">
                      <pic:pic xmlns:pic="http://schemas.openxmlformats.org/drawingml/2006/picture">
                        <pic:nvPicPr>
                          <pic:cNvPr id="28" name="Text_Box_3_SpCnt_47"/>
                          <pic:cNvPicPr/>
                        </pic:nvPicPr>
                        <pic:blipFill>
                          <a:blip r:embed="rId24"/>
                          <a:stretch>
                            <a:fillRect/>
                          </a:stretch>
                        </pic:blipFill>
                        <pic:spPr>
                          <a:xfrm>
                            <a:off x="0" y="0"/>
                            <a:ext cx="1860550" cy="20447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9880" cy="196215"/>
                  <wp:effectExtent l="0" t="0" r="0" b="0"/>
                  <wp:wrapNone/>
                  <wp:docPr id="31" name="Text_Box_3_SpCnt_48"/>
                  <wp:cNvGraphicFramePr/>
                  <a:graphic xmlns:a="http://schemas.openxmlformats.org/drawingml/2006/main">
                    <a:graphicData uri="http://schemas.openxmlformats.org/drawingml/2006/picture">
                      <pic:pic xmlns:pic="http://schemas.openxmlformats.org/drawingml/2006/picture">
                        <pic:nvPicPr>
                          <pic:cNvPr id="31" name="Text_Box_3_SpCnt_48"/>
                          <pic:cNvPicPr/>
                        </pic:nvPicPr>
                        <pic:blipFill>
                          <a:blip r:embed="rId24"/>
                          <a:stretch>
                            <a:fillRect/>
                          </a:stretch>
                        </pic:blipFill>
                        <pic:spPr>
                          <a:xfrm>
                            <a:off x="0" y="0"/>
                            <a:ext cx="309880" cy="19621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0355" cy="169545"/>
                  <wp:effectExtent l="0" t="0" r="0" b="0"/>
                  <wp:wrapNone/>
                  <wp:docPr id="33" name="Text_Box_3_SpCnt_49"/>
                  <wp:cNvGraphicFramePr/>
                  <a:graphic xmlns:a="http://schemas.openxmlformats.org/drawingml/2006/main">
                    <a:graphicData uri="http://schemas.openxmlformats.org/drawingml/2006/picture">
                      <pic:pic xmlns:pic="http://schemas.openxmlformats.org/drawingml/2006/picture">
                        <pic:nvPicPr>
                          <pic:cNvPr id="33" name="Text_Box_3_SpCnt_49"/>
                          <pic:cNvPicPr/>
                        </pic:nvPicPr>
                        <pic:blipFill>
                          <a:blip r:embed="rId24"/>
                          <a:stretch>
                            <a:fillRect/>
                          </a:stretch>
                        </pic:blipFill>
                        <pic:spPr>
                          <a:xfrm>
                            <a:off x="0" y="0"/>
                            <a:ext cx="300355" cy="16954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07820" cy="228600"/>
                  <wp:effectExtent l="0" t="0" r="0" b="0"/>
                  <wp:wrapNone/>
                  <wp:docPr id="36" name="Text_Box_3_SpCnt_50"/>
                  <wp:cNvGraphicFramePr/>
                  <a:graphic xmlns:a="http://schemas.openxmlformats.org/drawingml/2006/main">
                    <a:graphicData uri="http://schemas.openxmlformats.org/drawingml/2006/picture">
                      <pic:pic xmlns:pic="http://schemas.openxmlformats.org/drawingml/2006/picture">
                        <pic:nvPicPr>
                          <pic:cNvPr id="36" name="Text_Box_3_SpCnt_50"/>
                          <pic:cNvPicPr/>
                        </pic:nvPicPr>
                        <pic:blipFill>
                          <a:blip r:embed="rId24"/>
                          <a:stretch>
                            <a:fillRect/>
                          </a:stretch>
                        </pic:blipFill>
                        <pic:spPr>
                          <a:xfrm>
                            <a:off x="0" y="0"/>
                            <a:ext cx="1607820" cy="2286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860550" cy="211455"/>
                  <wp:effectExtent l="0" t="0" r="0" b="0"/>
                  <wp:wrapNone/>
                  <wp:docPr id="69" name="Text_Box_3_SpCnt_51"/>
                  <wp:cNvGraphicFramePr/>
                  <a:graphic xmlns:a="http://schemas.openxmlformats.org/drawingml/2006/main">
                    <a:graphicData uri="http://schemas.openxmlformats.org/drawingml/2006/picture">
                      <pic:pic xmlns:pic="http://schemas.openxmlformats.org/drawingml/2006/picture">
                        <pic:nvPicPr>
                          <pic:cNvPr id="69" name="Text_Box_3_SpCnt_51"/>
                          <pic:cNvPicPr/>
                        </pic:nvPicPr>
                        <pic:blipFill>
                          <a:blip r:embed="rId24"/>
                          <a:stretch>
                            <a:fillRect/>
                          </a:stretch>
                        </pic:blipFill>
                        <pic:spPr>
                          <a:xfrm>
                            <a:off x="0" y="0"/>
                            <a:ext cx="1860550" cy="2114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07820" cy="232410"/>
                  <wp:effectExtent l="0" t="0" r="0" b="0"/>
                  <wp:wrapNone/>
                  <wp:docPr id="75" name="Text_Box_3_SpCnt_52"/>
                  <wp:cNvGraphicFramePr/>
                  <a:graphic xmlns:a="http://schemas.openxmlformats.org/drawingml/2006/main">
                    <a:graphicData uri="http://schemas.openxmlformats.org/drawingml/2006/picture">
                      <pic:pic xmlns:pic="http://schemas.openxmlformats.org/drawingml/2006/picture">
                        <pic:nvPicPr>
                          <pic:cNvPr id="75" name="Text_Box_3_SpCnt_52"/>
                          <pic:cNvPicPr/>
                        </pic:nvPicPr>
                        <pic:blipFill>
                          <a:blip r:embed="rId24"/>
                          <a:stretch>
                            <a:fillRect/>
                          </a:stretch>
                        </pic:blipFill>
                        <pic:spPr>
                          <a:xfrm>
                            <a:off x="0" y="0"/>
                            <a:ext cx="1607820" cy="2324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9880" cy="188595"/>
                  <wp:effectExtent l="0" t="0" r="0" b="0"/>
                  <wp:wrapNone/>
                  <wp:docPr id="52" name="Text_Box_3_SpCnt_53"/>
                  <wp:cNvGraphicFramePr/>
                  <a:graphic xmlns:a="http://schemas.openxmlformats.org/drawingml/2006/main">
                    <a:graphicData uri="http://schemas.openxmlformats.org/drawingml/2006/picture">
                      <pic:pic xmlns:pic="http://schemas.openxmlformats.org/drawingml/2006/picture">
                        <pic:nvPicPr>
                          <pic:cNvPr id="52" name="Text_Box_3_SpCnt_53"/>
                          <pic:cNvPicPr/>
                        </pic:nvPicPr>
                        <pic:blipFill>
                          <a:blip r:embed="rId24"/>
                          <a:stretch>
                            <a:fillRect/>
                          </a:stretch>
                        </pic:blipFill>
                        <pic:spPr>
                          <a:xfrm>
                            <a:off x="0" y="0"/>
                            <a:ext cx="309880" cy="1885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735" cy="169545"/>
                  <wp:effectExtent l="0" t="0" r="0" b="0"/>
                  <wp:wrapNone/>
                  <wp:docPr id="65" name="Text_Box_3_SpCnt_54"/>
                  <wp:cNvGraphicFramePr/>
                  <a:graphic xmlns:a="http://schemas.openxmlformats.org/drawingml/2006/main">
                    <a:graphicData uri="http://schemas.openxmlformats.org/drawingml/2006/picture">
                      <pic:pic xmlns:pic="http://schemas.openxmlformats.org/drawingml/2006/picture">
                        <pic:nvPicPr>
                          <pic:cNvPr id="65" name="Text_Box_3_SpCnt_54"/>
                          <pic:cNvPicPr/>
                        </pic:nvPicPr>
                        <pic:blipFill>
                          <a:blip r:embed="rId24"/>
                          <a:stretch>
                            <a:fillRect/>
                          </a:stretch>
                        </pic:blipFill>
                        <pic:spPr>
                          <a:xfrm>
                            <a:off x="0" y="0"/>
                            <a:ext cx="292735" cy="16954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9880" cy="213995"/>
                  <wp:effectExtent l="0" t="0" r="0" b="0"/>
                  <wp:wrapNone/>
                  <wp:docPr id="76" name="Text_Box_3_SpCnt_55"/>
                  <wp:cNvGraphicFramePr/>
                  <a:graphic xmlns:a="http://schemas.openxmlformats.org/drawingml/2006/main">
                    <a:graphicData uri="http://schemas.openxmlformats.org/drawingml/2006/picture">
                      <pic:pic xmlns:pic="http://schemas.openxmlformats.org/drawingml/2006/picture">
                        <pic:nvPicPr>
                          <pic:cNvPr id="76" name="Text_Box_3_SpCnt_55"/>
                          <pic:cNvPicPr/>
                        </pic:nvPicPr>
                        <pic:blipFill>
                          <a:blip r:embed="rId24"/>
                          <a:stretch>
                            <a:fillRect/>
                          </a:stretch>
                        </pic:blipFill>
                        <pic:spPr>
                          <a:xfrm>
                            <a:off x="0" y="0"/>
                            <a:ext cx="309880" cy="2139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1.名称:人行道开挖与恢复</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EF8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2D0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171.6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2A49B">
            <w:pPr>
              <w:jc w:val="left"/>
              <w:rPr>
                <w:rFonts w:hint="eastAsia" w:ascii="宋体" w:hAnsi="宋体" w:eastAsia="宋体" w:cs="宋体"/>
                <w:i w:val="0"/>
                <w:iCs w:val="0"/>
                <w:color w:val="000000"/>
                <w:sz w:val="22"/>
                <w:szCs w:val="22"/>
                <w:u w:val="none"/>
              </w:rPr>
            </w:pPr>
          </w:p>
        </w:tc>
      </w:tr>
      <w:tr w14:paraId="419EA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85B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32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777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PVC50管</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DA9F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1.名称:电缆保护管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2.材质:PVC管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3.规格:1*PVC50，含管道配件</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C0C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026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66C96">
            <w:pPr>
              <w:jc w:val="left"/>
              <w:rPr>
                <w:rFonts w:hint="eastAsia" w:ascii="宋体" w:hAnsi="宋体" w:eastAsia="宋体" w:cs="宋体"/>
                <w:i w:val="0"/>
                <w:iCs w:val="0"/>
                <w:color w:val="000000"/>
                <w:sz w:val="22"/>
                <w:szCs w:val="22"/>
                <w:u w:val="none"/>
              </w:rPr>
            </w:pPr>
          </w:p>
        </w:tc>
      </w:tr>
      <w:tr w14:paraId="7D727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415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33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2ED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分支由过路电缆保护管道（埋管）</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4865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1.名称:电缆保护管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2.材质:PVC管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3.规格:1*PVC75，  含管道配件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4.敷设方式:埋地敷设</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648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955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167.6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F915F">
            <w:pPr>
              <w:jc w:val="left"/>
              <w:rPr>
                <w:rFonts w:hint="eastAsia" w:ascii="宋体" w:hAnsi="宋体" w:eastAsia="宋体" w:cs="宋体"/>
                <w:i w:val="0"/>
                <w:iCs w:val="0"/>
                <w:color w:val="000000"/>
                <w:sz w:val="22"/>
                <w:szCs w:val="22"/>
                <w:u w:val="none"/>
              </w:rPr>
            </w:pPr>
          </w:p>
        </w:tc>
      </w:tr>
      <w:tr w14:paraId="2563A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928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B79049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4191000</wp:posOffset>
                  </wp:positionH>
                  <wp:positionV relativeFrom="paragraph">
                    <wp:posOffset>0</wp:posOffset>
                  </wp:positionV>
                  <wp:extent cx="68580" cy="52705"/>
                  <wp:effectExtent l="0" t="0" r="0" b="0"/>
                  <wp:wrapNone/>
                  <wp:docPr id="66" name="textbox13"/>
                  <wp:cNvGraphicFramePr/>
                  <a:graphic xmlns:a="http://schemas.openxmlformats.org/drawingml/2006/main">
                    <a:graphicData uri="http://schemas.openxmlformats.org/drawingml/2006/picture">
                      <pic:pic xmlns:pic="http://schemas.openxmlformats.org/drawingml/2006/picture">
                        <pic:nvPicPr>
                          <pic:cNvPr id="66" name="textbox13"/>
                          <pic:cNvPicPr/>
                        </pic:nvPicPr>
                        <pic:blipFill>
                          <a:blip r:embed="rId26"/>
                          <a:stretch>
                            <a:fillRect/>
                          </a:stretch>
                        </pic:blipFill>
                        <pic:spPr>
                          <a:xfrm>
                            <a:off x="0" y="0"/>
                            <a:ext cx="68580" cy="5270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4191000</wp:posOffset>
                  </wp:positionH>
                  <wp:positionV relativeFrom="paragraph">
                    <wp:posOffset>0</wp:posOffset>
                  </wp:positionV>
                  <wp:extent cx="68580" cy="52705"/>
                  <wp:effectExtent l="0" t="0" r="0" b="0"/>
                  <wp:wrapNone/>
                  <wp:docPr id="70" name="textbox13_SpCnt_1"/>
                  <wp:cNvGraphicFramePr/>
                  <a:graphic xmlns:a="http://schemas.openxmlformats.org/drawingml/2006/main">
                    <a:graphicData uri="http://schemas.openxmlformats.org/drawingml/2006/picture">
                      <pic:pic xmlns:pic="http://schemas.openxmlformats.org/drawingml/2006/picture">
                        <pic:nvPicPr>
                          <pic:cNvPr id="70" name="textbox13_SpCnt_1"/>
                          <pic:cNvPicPr/>
                        </pic:nvPicPr>
                        <pic:blipFill>
                          <a:blip r:embed="rId26"/>
                          <a:stretch>
                            <a:fillRect/>
                          </a:stretch>
                        </pic:blipFill>
                        <pic:spPr>
                          <a:xfrm>
                            <a:off x="0" y="0"/>
                            <a:ext cx="68580" cy="5270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4191000</wp:posOffset>
                  </wp:positionH>
                  <wp:positionV relativeFrom="paragraph">
                    <wp:posOffset>0</wp:posOffset>
                  </wp:positionV>
                  <wp:extent cx="68580" cy="52705"/>
                  <wp:effectExtent l="0" t="0" r="0" b="0"/>
                  <wp:wrapNone/>
                  <wp:docPr id="71" name="textbox13_SpCnt_2"/>
                  <wp:cNvGraphicFramePr/>
                  <a:graphic xmlns:a="http://schemas.openxmlformats.org/drawingml/2006/main">
                    <a:graphicData uri="http://schemas.openxmlformats.org/drawingml/2006/picture">
                      <pic:pic xmlns:pic="http://schemas.openxmlformats.org/drawingml/2006/picture">
                        <pic:nvPicPr>
                          <pic:cNvPr id="71" name="textbox13_SpCnt_2"/>
                          <pic:cNvPicPr/>
                        </pic:nvPicPr>
                        <pic:blipFill>
                          <a:blip r:embed="rId26"/>
                          <a:stretch>
                            <a:fillRect/>
                          </a:stretch>
                        </pic:blipFill>
                        <pic:spPr>
                          <a:xfrm>
                            <a:off x="0" y="0"/>
                            <a:ext cx="68580" cy="5270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4191000</wp:posOffset>
                  </wp:positionH>
                  <wp:positionV relativeFrom="paragraph">
                    <wp:posOffset>0</wp:posOffset>
                  </wp:positionV>
                  <wp:extent cx="68580" cy="52705"/>
                  <wp:effectExtent l="0" t="0" r="0" b="0"/>
                  <wp:wrapNone/>
                  <wp:docPr id="74" name="textbox13_SpCnt_3"/>
                  <wp:cNvGraphicFramePr/>
                  <a:graphic xmlns:a="http://schemas.openxmlformats.org/drawingml/2006/main">
                    <a:graphicData uri="http://schemas.openxmlformats.org/drawingml/2006/picture">
                      <pic:pic xmlns:pic="http://schemas.openxmlformats.org/drawingml/2006/picture">
                        <pic:nvPicPr>
                          <pic:cNvPr id="74" name="textbox13_SpCnt_3"/>
                          <pic:cNvPicPr/>
                        </pic:nvPicPr>
                        <pic:blipFill>
                          <a:blip r:embed="rId26"/>
                          <a:stretch>
                            <a:fillRect/>
                          </a:stretch>
                        </pic:blipFill>
                        <pic:spPr>
                          <a:xfrm>
                            <a:off x="0" y="0"/>
                            <a:ext cx="68580" cy="5270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4191000</wp:posOffset>
                  </wp:positionH>
                  <wp:positionV relativeFrom="paragraph">
                    <wp:posOffset>0</wp:posOffset>
                  </wp:positionV>
                  <wp:extent cx="68580" cy="52705"/>
                  <wp:effectExtent l="0" t="0" r="0" b="0"/>
                  <wp:wrapNone/>
                  <wp:docPr id="72" name="textbox13_SpCnt_4"/>
                  <wp:cNvGraphicFramePr/>
                  <a:graphic xmlns:a="http://schemas.openxmlformats.org/drawingml/2006/main">
                    <a:graphicData uri="http://schemas.openxmlformats.org/drawingml/2006/picture">
                      <pic:pic xmlns:pic="http://schemas.openxmlformats.org/drawingml/2006/picture">
                        <pic:nvPicPr>
                          <pic:cNvPr id="72" name="textbox13_SpCnt_4"/>
                          <pic:cNvPicPr/>
                        </pic:nvPicPr>
                        <pic:blipFill>
                          <a:blip r:embed="rId26"/>
                          <a:stretch>
                            <a:fillRect/>
                          </a:stretch>
                        </pic:blipFill>
                        <pic:spPr>
                          <a:xfrm>
                            <a:off x="0" y="0"/>
                            <a:ext cx="68580" cy="5270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4191000</wp:posOffset>
                  </wp:positionH>
                  <wp:positionV relativeFrom="paragraph">
                    <wp:posOffset>0</wp:posOffset>
                  </wp:positionV>
                  <wp:extent cx="68580" cy="52705"/>
                  <wp:effectExtent l="0" t="0" r="0" b="0"/>
                  <wp:wrapNone/>
                  <wp:docPr id="77" name="textbox13_SpCnt_5"/>
                  <wp:cNvGraphicFramePr/>
                  <a:graphic xmlns:a="http://schemas.openxmlformats.org/drawingml/2006/main">
                    <a:graphicData uri="http://schemas.openxmlformats.org/drawingml/2006/picture">
                      <pic:pic xmlns:pic="http://schemas.openxmlformats.org/drawingml/2006/picture">
                        <pic:nvPicPr>
                          <pic:cNvPr id="77" name="textbox13_SpCnt_5"/>
                          <pic:cNvPicPr/>
                        </pic:nvPicPr>
                        <pic:blipFill>
                          <a:blip r:embed="rId27"/>
                          <a:stretch>
                            <a:fillRect/>
                          </a:stretch>
                        </pic:blipFill>
                        <pic:spPr>
                          <a:xfrm>
                            <a:off x="0" y="0"/>
                            <a:ext cx="68580" cy="5270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4191000</wp:posOffset>
                  </wp:positionH>
                  <wp:positionV relativeFrom="paragraph">
                    <wp:posOffset>0</wp:posOffset>
                  </wp:positionV>
                  <wp:extent cx="68580" cy="52705"/>
                  <wp:effectExtent l="0" t="0" r="0" b="0"/>
                  <wp:wrapNone/>
                  <wp:docPr id="67" name="textbox13_SpCnt_6"/>
                  <wp:cNvGraphicFramePr/>
                  <a:graphic xmlns:a="http://schemas.openxmlformats.org/drawingml/2006/main">
                    <a:graphicData uri="http://schemas.openxmlformats.org/drawingml/2006/picture">
                      <pic:pic xmlns:pic="http://schemas.openxmlformats.org/drawingml/2006/picture">
                        <pic:nvPicPr>
                          <pic:cNvPr id="67" name="textbox13_SpCnt_6"/>
                          <pic:cNvPicPr/>
                        </pic:nvPicPr>
                        <pic:blipFill>
                          <a:blip r:embed="rId26"/>
                          <a:stretch>
                            <a:fillRect/>
                          </a:stretch>
                        </pic:blipFill>
                        <pic:spPr>
                          <a:xfrm>
                            <a:off x="0" y="0"/>
                            <a:ext cx="68580" cy="5270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4191000</wp:posOffset>
                  </wp:positionH>
                  <wp:positionV relativeFrom="paragraph">
                    <wp:posOffset>0</wp:posOffset>
                  </wp:positionV>
                  <wp:extent cx="68580" cy="52705"/>
                  <wp:effectExtent l="0" t="0" r="0" b="0"/>
                  <wp:wrapNone/>
                  <wp:docPr id="64" name="textbox13_SpCnt_7"/>
                  <wp:cNvGraphicFramePr/>
                  <a:graphic xmlns:a="http://schemas.openxmlformats.org/drawingml/2006/main">
                    <a:graphicData uri="http://schemas.openxmlformats.org/drawingml/2006/picture">
                      <pic:pic xmlns:pic="http://schemas.openxmlformats.org/drawingml/2006/picture">
                        <pic:nvPicPr>
                          <pic:cNvPr id="64" name="textbox13_SpCnt_7"/>
                          <pic:cNvPicPr/>
                        </pic:nvPicPr>
                        <pic:blipFill>
                          <a:blip r:embed="rId26"/>
                          <a:stretch>
                            <a:fillRect/>
                          </a:stretch>
                        </pic:blipFill>
                        <pic:spPr>
                          <a:xfrm>
                            <a:off x="0" y="0"/>
                            <a:ext cx="68580" cy="5270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4191000</wp:posOffset>
                  </wp:positionH>
                  <wp:positionV relativeFrom="paragraph">
                    <wp:posOffset>0</wp:posOffset>
                  </wp:positionV>
                  <wp:extent cx="68580" cy="52705"/>
                  <wp:effectExtent l="0" t="0" r="0" b="0"/>
                  <wp:wrapNone/>
                  <wp:docPr id="56" name="textbox13_SpCnt_8"/>
                  <wp:cNvGraphicFramePr/>
                  <a:graphic xmlns:a="http://schemas.openxmlformats.org/drawingml/2006/main">
                    <a:graphicData uri="http://schemas.openxmlformats.org/drawingml/2006/picture">
                      <pic:pic xmlns:pic="http://schemas.openxmlformats.org/drawingml/2006/picture">
                        <pic:nvPicPr>
                          <pic:cNvPr id="56" name="textbox13_SpCnt_8"/>
                          <pic:cNvPicPr/>
                        </pic:nvPicPr>
                        <pic:blipFill>
                          <a:blip r:embed="rId26"/>
                          <a:stretch>
                            <a:fillRect/>
                          </a:stretch>
                        </pic:blipFill>
                        <pic:spPr>
                          <a:xfrm>
                            <a:off x="0" y="0"/>
                            <a:ext cx="68580" cy="5270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4191000</wp:posOffset>
                  </wp:positionH>
                  <wp:positionV relativeFrom="paragraph">
                    <wp:posOffset>0</wp:posOffset>
                  </wp:positionV>
                  <wp:extent cx="68580" cy="52705"/>
                  <wp:effectExtent l="0" t="0" r="0" b="0"/>
                  <wp:wrapNone/>
                  <wp:docPr id="73" name="textbox13_SpCnt_9"/>
                  <wp:cNvGraphicFramePr/>
                  <a:graphic xmlns:a="http://schemas.openxmlformats.org/drawingml/2006/main">
                    <a:graphicData uri="http://schemas.openxmlformats.org/drawingml/2006/picture">
                      <pic:pic xmlns:pic="http://schemas.openxmlformats.org/drawingml/2006/picture">
                        <pic:nvPicPr>
                          <pic:cNvPr id="73" name="textbox13_SpCnt_9"/>
                          <pic:cNvPicPr/>
                        </pic:nvPicPr>
                        <pic:blipFill>
                          <a:blip r:embed="rId26"/>
                          <a:stretch>
                            <a:fillRect/>
                          </a:stretch>
                        </pic:blipFill>
                        <pic:spPr>
                          <a:xfrm>
                            <a:off x="0" y="0"/>
                            <a:ext cx="68580" cy="5270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4191000</wp:posOffset>
                  </wp:positionH>
                  <wp:positionV relativeFrom="paragraph">
                    <wp:posOffset>0</wp:posOffset>
                  </wp:positionV>
                  <wp:extent cx="68580" cy="52705"/>
                  <wp:effectExtent l="0" t="0" r="0" b="0"/>
                  <wp:wrapNone/>
                  <wp:docPr id="63" name="textbox13_SpCnt_10"/>
                  <wp:cNvGraphicFramePr/>
                  <a:graphic xmlns:a="http://schemas.openxmlformats.org/drawingml/2006/main">
                    <a:graphicData uri="http://schemas.openxmlformats.org/drawingml/2006/picture">
                      <pic:pic xmlns:pic="http://schemas.openxmlformats.org/drawingml/2006/picture">
                        <pic:nvPicPr>
                          <pic:cNvPr id="63" name="textbox13_SpCnt_10"/>
                          <pic:cNvPicPr/>
                        </pic:nvPicPr>
                        <pic:blipFill>
                          <a:blip r:embed="rId26"/>
                          <a:stretch>
                            <a:fillRect/>
                          </a:stretch>
                        </pic:blipFill>
                        <pic:spPr>
                          <a:xfrm>
                            <a:off x="0" y="0"/>
                            <a:ext cx="68580" cy="5270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4191000</wp:posOffset>
                  </wp:positionH>
                  <wp:positionV relativeFrom="paragraph">
                    <wp:posOffset>0</wp:posOffset>
                  </wp:positionV>
                  <wp:extent cx="68580" cy="52705"/>
                  <wp:effectExtent l="0" t="0" r="0" b="0"/>
                  <wp:wrapNone/>
                  <wp:docPr id="78" name="textbox13_SpCnt_11"/>
                  <wp:cNvGraphicFramePr/>
                  <a:graphic xmlns:a="http://schemas.openxmlformats.org/drawingml/2006/main">
                    <a:graphicData uri="http://schemas.openxmlformats.org/drawingml/2006/picture">
                      <pic:pic xmlns:pic="http://schemas.openxmlformats.org/drawingml/2006/picture">
                        <pic:nvPicPr>
                          <pic:cNvPr id="78" name="textbox13_SpCnt_11"/>
                          <pic:cNvPicPr/>
                        </pic:nvPicPr>
                        <pic:blipFill>
                          <a:blip r:embed="rId28"/>
                          <a:stretch>
                            <a:fillRect/>
                          </a:stretch>
                        </pic:blipFill>
                        <pic:spPr>
                          <a:xfrm>
                            <a:off x="0" y="0"/>
                            <a:ext cx="68580" cy="5270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4191000</wp:posOffset>
                  </wp:positionH>
                  <wp:positionV relativeFrom="paragraph">
                    <wp:posOffset>0</wp:posOffset>
                  </wp:positionV>
                  <wp:extent cx="68580" cy="52705"/>
                  <wp:effectExtent l="0" t="0" r="0" b="0"/>
                  <wp:wrapNone/>
                  <wp:docPr id="79" name="textbox13_SpCnt_12"/>
                  <wp:cNvGraphicFramePr/>
                  <a:graphic xmlns:a="http://schemas.openxmlformats.org/drawingml/2006/main">
                    <a:graphicData uri="http://schemas.openxmlformats.org/drawingml/2006/picture">
                      <pic:pic xmlns:pic="http://schemas.openxmlformats.org/drawingml/2006/picture">
                        <pic:nvPicPr>
                          <pic:cNvPr id="79" name="textbox13_SpCnt_12"/>
                          <pic:cNvPicPr/>
                        </pic:nvPicPr>
                        <pic:blipFill>
                          <a:blip r:embed="rId26"/>
                          <a:stretch>
                            <a:fillRect/>
                          </a:stretch>
                        </pic:blipFill>
                        <pic:spPr>
                          <a:xfrm>
                            <a:off x="0" y="0"/>
                            <a:ext cx="68580" cy="5270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4191000</wp:posOffset>
                  </wp:positionH>
                  <wp:positionV relativeFrom="paragraph">
                    <wp:posOffset>0</wp:posOffset>
                  </wp:positionV>
                  <wp:extent cx="68580" cy="52705"/>
                  <wp:effectExtent l="0" t="0" r="0" b="0"/>
                  <wp:wrapNone/>
                  <wp:docPr id="68" name="textbox13_SpCnt_13"/>
                  <wp:cNvGraphicFramePr/>
                  <a:graphic xmlns:a="http://schemas.openxmlformats.org/drawingml/2006/main">
                    <a:graphicData uri="http://schemas.openxmlformats.org/drawingml/2006/picture">
                      <pic:pic xmlns:pic="http://schemas.openxmlformats.org/drawingml/2006/picture">
                        <pic:nvPicPr>
                          <pic:cNvPr id="68" name="textbox13_SpCnt_13"/>
                          <pic:cNvPicPr/>
                        </pic:nvPicPr>
                        <pic:blipFill>
                          <a:blip r:embed="rId29"/>
                          <a:stretch>
                            <a:fillRect/>
                          </a:stretch>
                        </pic:blipFill>
                        <pic:spPr>
                          <a:xfrm>
                            <a:off x="0" y="0"/>
                            <a:ext cx="68580" cy="5270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二、电子警察系统</w:t>
            </w:r>
          </w:p>
        </w:tc>
      </w:tr>
      <w:tr w14:paraId="1B29A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6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6BDAF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四黎南路龙潭路路口电子警察预算</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72076">
            <w:pP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AD869">
            <w:pPr>
              <w:rPr>
                <w:rFonts w:hint="eastAsia" w:ascii="宋体" w:hAnsi="宋体" w:eastAsia="宋体" w:cs="宋体"/>
                <w:i w:val="0"/>
                <w:iCs w:val="0"/>
                <w:color w:val="000000"/>
                <w:sz w:val="22"/>
                <w:szCs w:val="22"/>
                <w:u w:val="none"/>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4374A">
            <w:pPr>
              <w:jc w:val="left"/>
              <w:rPr>
                <w:rFonts w:hint="eastAsia" w:ascii="宋体" w:hAnsi="宋体" w:eastAsia="宋体" w:cs="宋体"/>
                <w:i w:val="0"/>
                <w:iCs w:val="0"/>
                <w:color w:val="000000"/>
                <w:sz w:val="22"/>
                <w:szCs w:val="22"/>
                <w:u w:val="none"/>
              </w:rPr>
            </w:pPr>
          </w:p>
        </w:tc>
      </w:tr>
      <w:tr w14:paraId="75ECE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1AD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58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294FF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 闯红灯电警抓拍</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9BF01">
            <w:pPr>
              <w:jc w:val="left"/>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F2E37">
            <w:pPr>
              <w:jc w:val="left"/>
              <w:rPr>
                <w:rFonts w:hint="eastAsia" w:ascii="宋体" w:hAnsi="宋体" w:eastAsia="宋体" w:cs="宋体"/>
                <w:i w:val="0"/>
                <w:iCs w:val="0"/>
                <w:color w:val="000000"/>
                <w:sz w:val="22"/>
                <w:szCs w:val="22"/>
                <w:u w:val="none"/>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3F007">
            <w:pPr>
              <w:jc w:val="left"/>
              <w:rPr>
                <w:rFonts w:hint="eastAsia" w:ascii="宋体" w:hAnsi="宋体" w:eastAsia="宋体" w:cs="宋体"/>
                <w:i w:val="0"/>
                <w:iCs w:val="0"/>
                <w:color w:val="000000"/>
                <w:sz w:val="22"/>
                <w:szCs w:val="22"/>
                <w:u w:val="none"/>
              </w:rPr>
            </w:pPr>
          </w:p>
        </w:tc>
      </w:tr>
      <w:tr w14:paraId="6EAA4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3AF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640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电子警察900万一体化抓拍单元</w:t>
            </w:r>
          </w:p>
        </w:tc>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FE45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详见设备参数要求</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F06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0EA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54E4C">
            <w:pPr>
              <w:jc w:val="left"/>
              <w:rPr>
                <w:rFonts w:hint="eastAsia" w:ascii="宋体" w:hAnsi="宋体" w:eastAsia="宋体" w:cs="宋体"/>
                <w:i w:val="0"/>
                <w:iCs w:val="0"/>
                <w:color w:val="000000"/>
                <w:sz w:val="22"/>
                <w:szCs w:val="22"/>
                <w:u w:val="none"/>
              </w:rPr>
            </w:pPr>
          </w:p>
        </w:tc>
      </w:tr>
      <w:tr w14:paraId="51084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3A1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10B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二合一网络防雷器</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4166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1.名称:网络防雷器;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2.适用于网络摄像枪的雷电及电涌防护</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DA3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89E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6CADA">
            <w:pPr>
              <w:jc w:val="left"/>
              <w:rPr>
                <w:rFonts w:hint="eastAsia" w:ascii="宋体" w:hAnsi="宋体" w:eastAsia="宋体" w:cs="宋体"/>
                <w:i w:val="0"/>
                <w:iCs w:val="0"/>
                <w:color w:val="000000"/>
                <w:sz w:val="22"/>
                <w:szCs w:val="22"/>
                <w:u w:val="none"/>
              </w:rPr>
            </w:pPr>
          </w:p>
        </w:tc>
      </w:tr>
      <w:tr w14:paraId="25151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741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87A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抱箍+底座</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FCBF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横杆装/白/钢/抱箍直径为Φ67-127mm</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7C6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69B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0182B">
            <w:pPr>
              <w:jc w:val="left"/>
              <w:rPr>
                <w:rFonts w:hint="eastAsia" w:ascii="宋体" w:hAnsi="宋体" w:eastAsia="宋体" w:cs="宋体"/>
                <w:i w:val="0"/>
                <w:iCs w:val="0"/>
                <w:color w:val="000000"/>
                <w:sz w:val="22"/>
                <w:szCs w:val="22"/>
                <w:u w:val="none"/>
              </w:rPr>
            </w:pPr>
          </w:p>
        </w:tc>
      </w:tr>
      <w:tr w14:paraId="7C31C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223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A1B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暖光LED频闪灯25°(3500K)</w:t>
            </w:r>
          </w:p>
        </w:tc>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79B4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详见设备参数要求</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0C8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A14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6D438">
            <w:pPr>
              <w:jc w:val="left"/>
              <w:rPr>
                <w:rFonts w:hint="eastAsia" w:ascii="宋体" w:hAnsi="宋体" w:eastAsia="宋体" w:cs="宋体"/>
                <w:i w:val="0"/>
                <w:iCs w:val="0"/>
                <w:color w:val="000000"/>
                <w:sz w:val="22"/>
                <w:szCs w:val="22"/>
                <w:u w:val="none"/>
              </w:rPr>
            </w:pPr>
          </w:p>
        </w:tc>
      </w:tr>
      <w:tr w14:paraId="34EE5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F9D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738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室外抱杆机箱</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F875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【抱杆】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含双路220V防雷，双路空气开关1个，单路空气开关1个，三芯、二芯插座1个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结构：整体结构采用拼焊结构，牢固、钢性好、牢固可靠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防护等级IP55，保护内部设备不受外界恶劣环境的干扰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机柜采用主体焊接、部分拼装的结构，保证了防护性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采用的是专用户外柜锁，具有良好的防水、防盗性能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环境适应性好，能最大限度地降低设备对环境的要求接地系统安全可靠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机柜底部进出线缆，有效实现防水、防尘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机柜采用抱杆安装方式，安装高度距离地面2.5m~3.5m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（安装抱箍需定制），具有防虫、防鼠功效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柜门采用防风结构（即门限位装置）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一般规范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工作湿度：湿度5%~95%@40℃, 无凝结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工作温度：温度-40℃~70℃</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F9B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06A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14336">
            <w:pPr>
              <w:jc w:val="left"/>
              <w:rPr>
                <w:rFonts w:hint="eastAsia" w:ascii="宋体" w:hAnsi="宋体" w:eastAsia="宋体" w:cs="宋体"/>
                <w:i w:val="0"/>
                <w:iCs w:val="0"/>
                <w:color w:val="000000"/>
                <w:sz w:val="22"/>
                <w:szCs w:val="22"/>
                <w:u w:val="none"/>
              </w:rPr>
            </w:pPr>
          </w:p>
        </w:tc>
      </w:tr>
      <w:tr w14:paraId="75D4D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749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619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自动重合闸</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539E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自动重合闸，电源方式:交流电，电压:1000V(不含)-1500V(含)，灭弧方式: 真空断路器，漏电保护器类型:2P。</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492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061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61DB1">
            <w:pPr>
              <w:jc w:val="left"/>
              <w:rPr>
                <w:rFonts w:hint="eastAsia" w:ascii="宋体" w:hAnsi="宋体" w:eastAsia="宋体" w:cs="宋体"/>
                <w:i w:val="0"/>
                <w:iCs w:val="0"/>
                <w:color w:val="000000"/>
                <w:sz w:val="22"/>
                <w:szCs w:val="22"/>
                <w:u w:val="none"/>
              </w:rPr>
            </w:pPr>
          </w:p>
        </w:tc>
      </w:tr>
      <w:tr w14:paraId="366CB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FFE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1A0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防雷排插</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D2A5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1.氧化锌压敏电阻防雷设计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2.高温熔断保护器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3.防雷指示灯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4.750℃阻燃PP材料</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F1F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957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C1777">
            <w:pPr>
              <w:jc w:val="left"/>
              <w:rPr>
                <w:rFonts w:hint="eastAsia" w:ascii="宋体" w:hAnsi="宋体" w:eastAsia="宋体" w:cs="宋体"/>
                <w:i w:val="0"/>
                <w:iCs w:val="0"/>
                <w:color w:val="000000"/>
                <w:sz w:val="22"/>
                <w:szCs w:val="22"/>
                <w:u w:val="none"/>
              </w:rPr>
            </w:pPr>
          </w:p>
        </w:tc>
      </w:tr>
      <w:tr w14:paraId="1B827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B33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037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电信级光纤收发器A端</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700B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1.光口：1个千兆光口，距离20公里，FC口，单模单纤；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2.电口：4个千兆网口；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3.防雷6000V IP40防护等级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4.安装方式：工业导轨式</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24C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EF5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008FC">
            <w:pPr>
              <w:jc w:val="left"/>
              <w:rPr>
                <w:rFonts w:hint="eastAsia" w:ascii="宋体" w:hAnsi="宋体" w:eastAsia="宋体" w:cs="宋体"/>
                <w:i w:val="0"/>
                <w:iCs w:val="0"/>
                <w:color w:val="000000"/>
                <w:sz w:val="22"/>
                <w:szCs w:val="22"/>
                <w:u w:val="none"/>
              </w:rPr>
            </w:pPr>
          </w:p>
        </w:tc>
      </w:tr>
      <w:tr w14:paraId="5B5AA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09D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FBE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电信级光纤收发器B端</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4768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1.光口：1个千兆光口，距离20公里，FC口，单模单纤；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2.电口：1个千兆网口；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3.防雷6000V IP40防护等级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4.安装方式：工业导轨式</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094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1F2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A66A8">
            <w:pPr>
              <w:jc w:val="left"/>
              <w:rPr>
                <w:rFonts w:hint="eastAsia" w:ascii="宋体" w:hAnsi="宋体" w:eastAsia="宋体" w:cs="宋体"/>
                <w:i w:val="0"/>
                <w:iCs w:val="0"/>
                <w:color w:val="000000"/>
                <w:sz w:val="22"/>
                <w:szCs w:val="22"/>
                <w:u w:val="none"/>
              </w:rPr>
            </w:pPr>
          </w:p>
        </w:tc>
      </w:tr>
      <w:tr w14:paraId="5E99D2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3A1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11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B1E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设备安装调试</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B9C2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1.设备固定安装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2.设备接线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3.监控设备画面调试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4.灯光效果调试</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761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656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93B92">
            <w:pPr>
              <w:jc w:val="left"/>
              <w:rPr>
                <w:rFonts w:hint="eastAsia" w:ascii="宋体" w:hAnsi="宋体" w:eastAsia="宋体" w:cs="宋体"/>
                <w:i w:val="0"/>
                <w:iCs w:val="0"/>
                <w:color w:val="000000"/>
                <w:sz w:val="22"/>
                <w:szCs w:val="22"/>
                <w:u w:val="none"/>
              </w:rPr>
            </w:pPr>
          </w:p>
        </w:tc>
      </w:tr>
      <w:tr w14:paraId="0DBCA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E81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12 </w:t>
            </w:r>
          </w:p>
        </w:tc>
        <w:tc>
          <w:tcPr>
            <w:tcW w:w="58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58F69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1.2.反向电警（人脸）抓拍</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108F6">
            <w:pPr>
              <w:jc w:val="left"/>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070A5">
            <w:pPr>
              <w:jc w:val="left"/>
              <w:rPr>
                <w:rFonts w:hint="eastAsia" w:ascii="宋体" w:hAnsi="宋体" w:eastAsia="宋体" w:cs="宋体"/>
                <w:i w:val="0"/>
                <w:iCs w:val="0"/>
                <w:color w:val="000000"/>
                <w:sz w:val="22"/>
                <w:szCs w:val="22"/>
                <w:u w:val="none"/>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6D939">
            <w:pPr>
              <w:jc w:val="left"/>
              <w:rPr>
                <w:rFonts w:hint="eastAsia" w:ascii="宋体" w:hAnsi="宋体" w:eastAsia="宋体" w:cs="宋体"/>
                <w:i w:val="0"/>
                <w:iCs w:val="0"/>
                <w:color w:val="000000"/>
                <w:sz w:val="22"/>
                <w:szCs w:val="22"/>
                <w:u w:val="none"/>
              </w:rPr>
            </w:pPr>
          </w:p>
        </w:tc>
      </w:tr>
      <w:tr w14:paraId="5D2B1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368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13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942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生态卡口一体化抓拍单元</w:t>
            </w:r>
          </w:p>
        </w:tc>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FC7E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详见设备参数要求</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CA0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4486275</wp:posOffset>
                  </wp:positionV>
                  <wp:extent cx="68580" cy="52705"/>
                  <wp:effectExtent l="0" t="0" r="0" b="0"/>
                  <wp:wrapNone/>
                  <wp:docPr id="82" name="textbox13_SpCnt_14"/>
                  <wp:cNvGraphicFramePr/>
                  <a:graphic xmlns:a="http://schemas.openxmlformats.org/drawingml/2006/main">
                    <a:graphicData uri="http://schemas.openxmlformats.org/drawingml/2006/picture">
                      <pic:pic xmlns:pic="http://schemas.openxmlformats.org/drawingml/2006/picture">
                        <pic:nvPicPr>
                          <pic:cNvPr id="82" name="textbox13_SpCnt_14"/>
                          <pic:cNvPicPr/>
                        </pic:nvPicPr>
                        <pic:blipFill>
                          <a:blip r:embed="rId26"/>
                          <a:stretch>
                            <a:fillRect/>
                          </a:stretch>
                        </pic:blipFill>
                        <pic:spPr>
                          <a:xfrm>
                            <a:off x="0" y="0"/>
                            <a:ext cx="68580" cy="5270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172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BE6AE">
            <w:pPr>
              <w:jc w:val="left"/>
              <w:rPr>
                <w:rFonts w:hint="eastAsia" w:ascii="宋体" w:hAnsi="宋体" w:eastAsia="宋体" w:cs="宋体"/>
                <w:i w:val="0"/>
                <w:iCs w:val="0"/>
                <w:color w:val="000000"/>
                <w:sz w:val="22"/>
                <w:szCs w:val="22"/>
                <w:u w:val="none"/>
              </w:rPr>
            </w:pPr>
          </w:p>
        </w:tc>
      </w:tr>
      <w:tr w14:paraId="30E0A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B7F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14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999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50mm定焦镜头（手动光圈）</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3D89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道温，接3口0 ℃；70℃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人脸像素：100*100，抓拍距离24米；</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82E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E1F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59801">
            <w:pPr>
              <w:jc w:val="left"/>
              <w:rPr>
                <w:rFonts w:hint="eastAsia" w:ascii="宋体" w:hAnsi="宋体" w:eastAsia="宋体" w:cs="宋体"/>
                <w:i w:val="0"/>
                <w:iCs w:val="0"/>
                <w:color w:val="000000"/>
                <w:sz w:val="22"/>
                <w:szCs w:val="22"/>
                <w:u w:val="none"/>
              </w:rPr>
            </w:pPr>
          </w:p>
        </w:tc>
      </w:tr>
      <w:tr w14:paraId="47A51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848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15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CFB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二合一网络防雷器</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CF8C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1.名称:网络防雷器;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2.适用于网络摄像枪的雷电及电涌防护</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AC5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A24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0ADF4">
            <w:pPr>
              <w:jc w:val="left"/>
              <w:rPr>
                <w:rFonts w:hint="eastAsia" w:ascii="宋体" w:hAnsi="宋体" w:eastAsia="宋体" w:cs="宋体"/>
                <w:i w:val="0"/>
                <w:iCs w:val="0"/>
                <w:color w:val="000000"/>
                <w:sz w:val="22"/>
                <w:szCs w:val="22"/>
                <w:u w:val="none"/>
              </w:rPr>
            </w:pPr>
          </w:p>
        </w:tc>
      </w:tr>
      <w:tr w14:paraId="1CB97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D7B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16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9B0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抱箍+底座</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0A9F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横杆装/白/钢/抱箍直径为Φ67-127mm</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98B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622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5A181">
            <w:pPr>
              <w:jc w:val="left"/>
              <w:rPr>
                <w:rFonts w:hint="eastAsia" w:ascii="宋体" w:hAnsi="宋体" w:eastAsia="宋体" w:cs="宋体"/>
                <w:i w:val="0"/>
                <w:iCs w:val="0"/>
                <w:color w:val="000000"/>
                <w:sz w:val="22"/>
                <w:szCs w:val="22"/>
                <w:u w:val="none"/>
              </w:rPr>
            </w:pPr>
          </w:p>
        </w:tc>
      </w:tr>
      <w:tr w14:paraId="26CF9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1E1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17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556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四合一生态补光灯（防眩光）</w:t>
            </w:r>
          </w:p>
        </w:tc>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4813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详见设备参数要求</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925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657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366B2">
            <w:pPr>
              <w:jc w:val="left"/>
              <w:rPr>
                <w:rFonts w:hint="eastAsia" w:ascii="宋体" w:hAnsi="宋体" w:eastAsia="宋体" w:cs="宋体"/>
                <w:i w:val="0"/>
                <w:iCs w:val="0"/>
                <w:color w:val="000000"/>
                <w:sz w:val="22"/>
                <w:szCs w:val="22"/>
                <w:u w:val="none"/>
              </w:rPr>
            </w:pPr>
          </w:p>
        </w:tc>
      </w:tr>
      <w:tr w14:paraId="551C4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C97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18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64B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设备安装调试</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EF7C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1.设备固定安装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2.设备接线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3.监控设备画面调试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4.灯光效果调试</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277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4ED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BD6BC">
            <w:pPr>
              <w:jc w:val="left"/>
              <w:rPr>
                <w:rFonts w:hint="eastAsia" w:ascii="宋体" w:hAnsi="宋体" w:eastAsia="宋体" w:cs="宋体"/>
                <w:i w:val="0"/>
                <w:iCs w:val="0"/>
                <w:color w:val="000000"/>
                <w:sz w:val="22"/>
                <w:szCs w:val="22"/>
                <w:u w:val="none"/>
              </w:rPr>
            </w:pPr>
          </w:p>
        </w:tc>
      </w:tr>
      <w:tr w14:paraId="41BF9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A3B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19 </w:t>
            </w:r>
          </w:p>
        </w:tc>
        <w:tc>
          <w:tcPr>
            <w:tcW w:w="58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CD69C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1.3.全景球（网络球机）</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FCE29">
            <w:pPr>
              <w:jc w:val="left"/>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23962">
            <w:pPr>
              <w:jc w:val="left"/>
              <w:rPr>
                <w:rFonts w:hint="eastAsia" w:ascii="宋体" w:hAnsi="宋体" w:eastAsia="宋体" w:cs="宋体"/>
                <w:i w:val="0"/>
                <w:iCs w:val="0"/>
                <w:color w:val="000000"/>
                <w:sz w:val="22"/>
                <w:szCs w:val="22"/>
                <w:u w:val="none"/>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3CA17">
            <w:pPr>
              <w:jc w:val="left"/>
              <w:rPr>
                <w:rFonts w:hint="eastAsia" w:ascii="宋体" w:hAnsi="宋体" w:eastAsia="宋体" w:cs="宋体"/>
                <w:i w:val="0"/>
                <w:iCs w:val="0"/>
                <w:color w:val="000000"/>
                <w:sz w:val="22"/>
                <w:szCs w:val="22"/>
                <w:u w:val="none"/>
              </w:rPr>
            </w:pPr>
          </w:p>
        </w:tc>
      </w:tr>
      <w:tr w14:paraId="63AC2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897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20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67A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智慧交通网络球机</w:t>
            </w:r>
          </w:p>
        </w:tc>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248F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详见设备参数要求</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EF7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4486275</wp:posOffset>
                  </wp:positionV>
                  <wp:extent cx="68580" cy="52705"/>
                  <wp:effectExtent l="0" t="0" r="0" b="0"/>
                  <wp:wrapNone/>
                  <wp:docPr id="80" name="textbox13_SpCnt_15"/>
                  <wp:cNvGraphicFramePr/>
                  <a:graphic xmlns:a="http://schemas.openxmlformats.org/drawingml/2006/main">
                    <a:graphicData uri="http://schemas.openxmlformats.org/drawingml/2006/picture">
                      <pic:pic xmlns:pic="http://schemas.openxmlformats.org/drawingml/2006/picture">
                        <pic:nvPicPr>
                          <pic:cNvPr id="80" name="textbox13_SpCnt_15"/>
                          <pic:cNvPicPr/>
                        </pic:nvPicPr>
                        <pic:blipFill>
                          <a:blip r:embed="rId26"/>
                          <a:stretch>
                            <a:fillRect/>
                          </a:stretch>
                        </pic:blipFill>
                        <pic:spPr>
                          <a:xfrm>
                            <a:off x="0" y="0"/>
                            <a:ext cx="68580" cy="5270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CC0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99246">
            <w:pPr>
              <w:jc w:val="left"/>
              <w:rPr>
                <w:rFonts w:hint="eastAsia" w:ascii="宋体" w:hAnsi="宋体" w:eastAsia="宋体" w:cs="宋体"/>
                <w:i w:val="0"/>
                <w:iCs w:val="0"/>
                <w:color w:val="000000"/>
                <w:sz w:val="22"/>
                <w:szCs w:val="22"/>
                <w:u w:val="none"/>
              </w:rPr>
            </w:pPr>
          </w:p>
        </w:tc>
      </w:tr>
      <w:tr w14:paraId="7298C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010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21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98F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吊装支架</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6649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铝合金；白色；最大承重7.0kg；吊装；</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CA8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200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88F24">
            <w:pPr>
              <w:jc w:val="left"/>
              <w:rPr>
                <w:rFonts w:hint="eastAsia" w:ascii="宋体" w:hAnsi="宋体" w:eastAsia="宋体" w:cs="宋体"/>
                <w:i w:val="0"/>
                <w:iCs w:val="0"/>
                <w:color w:val="000000"/>
                <w:sz w:val="22"/>
                <w:szCs w:val="22"/>
                <w:u w:val="none"/>
              </w:rPr>
            </w:pPr>
          </w:p>
        </w:tc>
      </w:tr>
      <w:tr w14:paraId="15EF8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CC8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22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3DE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设备安装调试</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9C42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1.设备固定安装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2.设备接线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3.监控设备画面调试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4.灯光效果调试</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17E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FED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D6D79">
            <w:pPr>
              <w:jc w:val="left"/>
              <w:rPr>
                <w:rFonts w:hint="eastAsia" w:ascii="宋体" w:hAnsi="宋体" w:eastAsia="宋体" w:cs="宋体"/>
                <w:i w:val="0"/>
                <w:iCs w:val="0"/>
                <w:color w:val="000000"/>
                <w:sz w:val="22"/>
                <w:szCs w:val="22"/>
                <w:u w:val="none"/>
              </w:rPr>
            </w:pPr>
          </w:p>
        </w:tc>
      </w:tr>
      <w:tr w14:paraId="19232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E78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23 </w:t>
            </w:r>
          </w:p>
        </w:tc>
        <w:tc>
          <w:tcPr>
            <w:tcW w:w="58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091C4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 电警汇聚设备</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34F15">
            <w:pPr>
              <w:jc w:val="left"/>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C961F">
            <w:pPr>
              <w:jc w:val="left"/>
              <w:rPr>
                <w:rFonts w:hint="eastAsia" w:ascii="宋体" w:hAnsi="宋体" w:eastAsia="宋体" w:cs="宋体"/>
                <w:i w:val="0"/>
                <w:iCs w:val="0"/>
                <w:color w:val="000000"/>
                <w:sz w:val="22"/>
                <w:szCs w:val="22"/>
                <w:u w:val="none"/>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47067">
            <w:pPr>
              <w:jc w:val="left"/>
              <w:rPr>
                <w:rFonts w:hint="eastAsia" w:ascii="宋体" w:hAnsi="宋体" w:eastAsia="宋体" w:cs="宋体"/>
                <w:i w:val="0"/>
                <w:iCs w:val="0"/>
                <w:color w:val="000000"/>
                <w:sz w:val="22"/>
                <w:szCs w:val="22"/>
                <w:u w:val="none"/>
              </w:rPr>
            </w:pPr>
          </w:p>
        </w:tc>
      </w:tr>
      <w:tr w14:paraId="2EEAAD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D8E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24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F71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16路智能终端管理盒</w:t>
            </w:r>
          </w:p>
        </w:tc>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8825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详见设备参数要求</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7BA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4486275</wp:posOffset>
                  </wp:positionV>
                  <wp:extent cx="68580" cy="52705"/>
                  <wp:effectExtent l="0" t="0" r="0" b="0"/>
                  <wp:wrapNone/>
                  <wp:docPr id="81" name="textbox13_SpCnt_16"/>
                  <wp:cNvGraphicFramePr/>
                  <a:graphic xmlns:a="http://schemas.openxmlformats.org/drawingml/2006/main">
                    <a:graphicData uri="http://schemas.openxmlformats.org/drawingml/2006/picture">
                      <pic:pic xmlns:pic="http://schemas.openxmlformats.org/drawingml/2006/picture">
                        <pic:nvPicPr>
                          <pic:cNvPr id="81" name="textbox13_SpCnt_16"/>
                          <pic:cNvPicPr/>
                        </pic:nvPicPr>
                        <pic:blipFill>
                          <a:blip r:embed="rId26"/>
                          <a:stretch>
                            <a:fillRect/>
                          </a:stretch>
                        </pic:blipFill>
                        <pic:spPr>
                          <a:xfrm>
                            <a:off x="0" y="0"/>
                            <a:ext cx="68580" cy="5270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B11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F61B1">
            <w:pPr>
              <w:jc w:val="left"/>
              <w:rPr>
                <w:rFonts w:hint="eastAsia" w:ascii="宋体" w:hAnsi="宋体" w:eastAsia="宋体" w:cs="宋体"/>
                <w:i w:val="0"/>
                <w:iCs w:val="0"/>
                <w:color w:val="000000"/>
                <w:sz w:val="22"/>
                <w:szCs w:val="22"/>
                <w:u w:val="none"/>
              </w:rPr>
            </w:pPr>
          </w:p>
        </w:tc>
      </w:tr>
      <w:tr w14:paraId="3B5D4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F5A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25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828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交换机</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8503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千兆以太网交换机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8个10/100Base-TX以太网端口，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1个10/100/1000Base-T以太网端口，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1个复用的千兆Combo SFP</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FCF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4486275</wp:posOffset>
                  </wp:positionV>
                  <wp:extent cx="68580" cy="52705"/>
                  <wp:effectExtent l="0" t="0" r="0" b="0"/>
                  <wp:wrapNone/>
                  <wp:docPr id="51" name="textbox13_SpCnt_17"/>
                  <wp:cNvGraphicFramePr/>
                  <a:graphic xmlns:a="http://schemas.openxmlformats.org/drawingml/2006/main">
                    <a:graphicData uri="http://schemas.openxmlformats.org/drawingml/2006/picture">
                      <pic:pic xmlns:pic="http://schemas.openxmlformats.org/drawingml/2006/picture">
                        <pic:nvPicPr>
                          <pic:cNvPr id="51" name="textbox13_SpCnt_17"/>
                          <pic:cNvPicPr/>
                        </pic:nvPicPr>
                        <pic:blipFill>
                          <a:blip r:embed="rId26"/>
                          <a:stretch>
                            <a:fillRect/>
                          </a:stretch>
                        </pic:blipFill>
                        <pic:spPr>
                          <a:xfrm>
                            <a:off x="0" y="0"/>
                            <a:ext cx="68580" cy="5270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86D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889C3">
            <w:pPr>
              <w:jc w:val="left"/>
              <w:rPr>
                <w:rFonts w:hint="eastAsia" w:ascii="宋体" w:hAnsi="宋体" w:eastAsia="宋体" w:cs="宋体"/>
                <w:i w:val="0"/>
                <w:iCs w:val="0"/>
                <w:color w:val="000000"/>
                <w:sz w:val="22"/>
                <w:szCs w:val="22"/>
                <w:u w:val="none"/>
              </w:rPr>
            </w:pPr>
          </w:p>
        </w:tc>
      </w:tr>
      <w:tr w14:paraId="1F964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BE7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26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66E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电警路口落地机柜</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E176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【落地机柜】（不含帽檐和基座）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含双路220V防雷，双路空气开关1个，单路空气开关8个，  三芯维护插座1个防护等级IP55</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135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00F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E85D0">
            <w:pPr>
              <w:jc w:val="left"/>
              <w:rPr>
                <w:rFonts w:hint="eastAsia" w:ascii="宋体" w:hAnsi="宋体" w:eastAsia="宋体" w:cs="宋体"/>
                <w:i w:val="0"/>
                <w:iCs w:val="0"/>
                <w:color w:val="000000"/>
                <w:sz w:val="22"/>
                <w:szCs w:val="22"/>
                <w:u w:val="none"/>
              </w:rPr>
            </w:pPr>
          </w:p>
        </w:tc>
      </w:tr>
      <w:tr w14:paraId="2D54F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06F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27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928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落地机柜基座</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F075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1.600mm×450mm底座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2.水泥沙砖铺设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3.贴白色瓷砖</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4.底座防雷制作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5.PVC-U电缆保护管 DN110引上</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A74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230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00964">
            <w:pPr>
              <w:jc w:val="left"/>
              <w:rPr>
                <w:rFonts w:hint="eastAsia" w:ascii="宋体" w:hAnsi="宋体" w:eastAsia="宋体" w:cs="宋体"/>
                <w:i w:val="0"/>
                <w:iCs w:val="0"/>
                <w:color w:val="000000"/>
                <w:sz w:val="22"/>
                <w:szCs w:val="22"/>
                <w:u w:val="none"/>
              </w:rPr>
            </w:pPr>
          </w:p>
        </w:tc>
      </w:tr>
      <w:tr w14:paraId="45B8E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51D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28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47F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千箱美化</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BF30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一般性质道路人行道边小型箱体彩绘，可以融入地域特色，或者选取周边建筑等基础作为颜色及形式参考，即可以体现本土文化，又能与周边协调。</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EEB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E97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E0EBE">
            <w:pPr>
              <w:jc w:val="left"/>
              <w:rPr>
                <w:rFonts w:hint="eastAsia" w:ascii="宋体" w:hAnsi="宋体" w:eastAsia="宋体" w:cs="宋体"/>
                <w:i w:val="0"/>
                <w:iCs w:val="0"/>
                <w:color w:val="000000"/>
                <w:sz w:val="22"/>
                <w:szCs w:val="22"/>
                <w:u w:val="none"/>
              </w:rPr>
            </w:pPr>
          </w:p>
        </w:tc>
      </w:tr>
      <w:tr w14:paraId="0A275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C58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29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2FD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接地装置</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BD37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1.名称:接地母线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2.材质:镀锌扁钢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3.规格:-50*5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4.防雷接地极安装，接地主排引出，降阻剂及降阻模块安装，保证地阻低于10欧姆；</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E59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4486275</wp:posOffset>
                  </wp:positionV>
                  <wp:extent cx="68580" cy="52705"/>
                  <wp:effectExtent l="0" t="0" r="0" b="0"/>
                  <wp:wrapNone/>
                  <wp:docPr id="53" name="textbox13_SpCnt_18"/>
                  <wp:cNvGraphicFramePr/>
                  <a:graphic xmlns:a="http://schemas.openxmlformats.org/drawingml/2006/main">
                    <a:graphicData uri="http://schemas.openxmlformats.org/drawingml/2006/picture">
                      <pic:pic xmlns:pic="http://schemas.openxmlformats.org/drawingml/2006/picture">
                        <pic:nvPicPr>
                          <pic:cNvPr id="53" name="textbox13_SpCnt_18"/>
                          <pic:cNvPicPr/>
                        </pic:nvPicPr>
                        <pic:blipFill>
                          <a:blip r:embed="rId26"/>
                          <a:stretch>
                            <a:fillRect/>
                          </a:stretch>
                        </pic:blipFill>
                        <pic:spPr>
                          <a:xfrm>
                            <a:off x="0" y="0"/>
                            <a:ext cx="68580" cy="5270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9FD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3C3FB">
            <w:pPr>
              <w:jc w:val="left"/>
              <w:rPr>
                <w:rFonts w:hint="eastAsia" w:ascii="宋体" w:hAnsi="宋体" w:eastAsia="宋体" w:cs="宋体"/>
                <w:i w:val="0"/>
                <w:iCs w:val="0"/>
                <w:color w:val="000000"/>
                <w:sz w:val="22"/>
                <w:szCs w:val="22"/>
                <w:u w:val="none"/>
              </w:rPr>
            </w:pPr>
          </w:p>
        </w:tc>
      </w:tr>
      <w:tr w14:paraId="3C376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EDC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30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4C9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自动重合闸</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8DD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自动重合闸，电源方式:交流电，电压:1000V(不含)-1500V(含)，灭弧方式: 真空断路器，漏电保护器类型:2P。</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9B0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4486275</wp:posOffset>
                  </wp:positionV>
                  <wp:extent cx="68580" cy="52705"/>
                  <wp:effectExtent l="0" t="0" r="0" b="0"/>
                  <wp:wrapNone/>
                  <wp:docPr id="54" name="textbox13_SpCnt_19"/>
                  <wp:cNvGraphicFramePr/>
                  <a:graphic xmlns:a="http://schemas.openxmlformats.org/drawingml/2006/main">
                    <a:graphicData uri="http://schemas.openxmlformats.org/drawingml/2006/picture">
                      <pic:pic xmlns:pic="http://schemas.openxmlformats.org/drawingml/2006/picture">
                        <pic:nvPicPr>
                          <pic:cNvPr id="54" name="textbox13_SpCnt_19"/>
                          <pic:cNvPicPr/>
                        </pic:nvPicPr>
                        <pic:blipFill>
                          <a:blip r:embed="rId26"/>
                          <a:stretch>
                            <a:fillRect/>
                          </a:stretch>
                        </pic:blipFill>
                        <pic:spPr>
                          <a:xfrm>
                            <a:off x="0" y="0"/>
                            <a:ext cx="68580" cy="5270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A66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232D1">
            <w:pPr>
              <w:jc w:val="left"/>
              <w:rPr>
                <w:rFonts w:hint="eastAsia" w:ascii="宋体" w:hAnsi="宋体" w:eastAsia="宋体" w:cs="宋体"/>
                <w:i w:val="0"/>
                <w:iCs w:val="0"/>
                <w:color w:val="000000"/>
                <w:sz w:val="22"/>
                <w:szCs w:val="22"/>
                <w:u w:val="none"/>
              </w:rPr>
            </w:pPr>
          </w:p>
        </w:tc>
      </w:tr>
      <w:tr w14:paraId="6D785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AF9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31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773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电源防雷模块</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822E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1.极数2P</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2.额定持续电压275V</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3.标称放电电流40KA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4.保护水平1.5KV</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705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DFE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BE437">
            <w:pPr>
              <w:jc w:val="left"/>
              <w:rPr>
                <w:rFonts w:hint="eastAsia" w:ascii="宋体" w:hAnsi="宋体" w:eastAsia="宋体" w:cs="宋体"/>
                <w:i w:val="0"/>
                <w:iCs w:val="0"/>
                <w:color w:val="000000"/>
                <w:sz w:val="22"/>
                <w:szCs w:val="22"/>
                <w:u w:val="none"/>
              </w:rPr>
            </w:pPr>
          </w:p>
        </w:tc>
      </w:tr>
      <w:tr w14:paraId="4E608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DD6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32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15D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落地机柜强电模块</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4242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1.63A2P漏电保护开关X1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2.20A2P空气保护开关X4</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3.10A2P空气保护开关X4</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8E2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4486275</wp:posOffset>
                  </wp:positionV>
                  <wp:extent cx="68580" cy="52705"/>
                  <wp:effectExtent l="0" t="0" r="0" b="0"/>
                  <wp:wrapNone/>
                  <wp:docPr id="55" name="textbox13_SpCnt_20"/>
                  <wp:cNvGraphicFramePr/>
                  <a:graphic xmlns:a="http://schemas.openxmlformats.org/drawingml/2006/main">
                    <a:graphicData uri="http://schemas.openxmlformats.org/drawingml/2006/picture">
                      <pic:pic xmlns:pic="http://schemas.openxmlformats.org/drawingml/2006/picture">
                        <pic:nvPicPr>
                          <pic:cNvPr id="55" name="textbox13_SpCnt_20"/>
                          <pic:cNvPicPr/>
                        </pic:nvPicPr>
                        <pic:blipFill>
                          <a:blip r:embed="rId26"/>
                          <a:stretch>
                            <a:fillRect/>
                          </a:stretch>
                        </pic:blipFill>
                        <pic:spPr>
                          <a:xfrm>
                            <a:off x="0" y="0"/>
                            <a:ext cx="68580" cy="5270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DF3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33F81">
            <w:pPr>
              <w:jc w:val="left"/>
              <w:rPr>
                <w:rFonts w:hint="eastAsia" w:ascii="宋体" w:hAnsi="宋体" w:eastAsia="宋体" w:cs="宋体"/>
                <w:i w:val="0"/>
                <w:iCs w:val="0"/>
                <w:color w:val="000000"/>
                <w:sz w:val="22"/>
                <w:szCs w:val="22"/>
                <w:u w:val="none"/>
              </w:rPr>
            </w:pPr>
          </w:p>
        </w:tc>
      </w:tr>
      <w:tr w14:paraId="1F7C1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4BD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33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67B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防雷排插</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7322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1.氧化锌压敏电阻防雷设计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2.高温熔断保护器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3.防雷指示灯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4.750℃阻燃PP材料</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697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2CB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C9E03">
            <w:pPr>
              <w:jc w:val="left"/>
              <w:rPr>
                <w:rFonts w:hint="eastAsia" w:ascii="宋体" w:hAnsi="宋体" w:eastAsia="宋体" w:cs="宋体"/>
                <w:i w:val="0"/>
                <w:iCs w:val="0"/>
                <w:color w:val="000000"/>
                <w:sz w:val="22"/>
                <w:szCs w:val="22"/>
                <w:u w:val="none"/>
              </w:rPr>
            </w:pPr>
          </w:p>
        </w:tc>
      </w:tr>
      <w:tr w14:paraId="2FAF9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1C6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34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F51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千兆光纤跳线</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76C0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1.名称:光纤线缆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2.规格:千兆单模，LC接口，5米</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3A6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条</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84A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66D2B">
            <w:pPr>
              <w:jc w:val="left"/>
              <w:rPr>
                <w:rFonts w:hint="eastAsia" w:ascii="宋体" w:hAnsi="宋体" w:eastAsia="宋体" w:cs="宋体"/>
                <w:i w:val="0"/>
                <w:iCs w:val="0"/>
                <w:color w:val="000000"/>
                <w:sz w:val="22"/>
                <w:szCs w:val="22"/>
                <w:u w:val="none"/>
              </w:rPr>
            </w:pPr>
          </w:p>
        </w:tc>
      </w:tr>
      <w:tr w14:paraId="7F78C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0F3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35 </w:t>
            </w:r>
          </w:p>
        </w:tc>
        <w:tc>
          <w:tcPr>
            <w:tcW w:w="58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5353A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1.5.前端线路敷设工程</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D112E">
            <w:pPr>
              <w:jc w:val="left"/>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13ED6">
            <w:pPr>
              <w:jc w:val="left"/>
              <w:rPr>
                <w:rFonts w:hint="eastAsia" w:ascii="宋体" w:hAnsi="宋体" w:eastAsia="宋体" w:cs="宋体"/>
                <w:i w:val="0"/>
                <w:iCs w:val="0"/>
                <w:color w:val="000000"/>
                <w:sz w:val="22"/>
                <w:szCs w:val="22"/>
                <w:u w:val="none"/>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7D2A2">
            <w:pPr>
              <w:jc w:val="left"/>
              <w:rPr>
                <w:rFonts w:hint="eastAsia" w:ascii="宋体" w:hAnsi="宋体" w:eastAsia="宋体" w:cs="宋体"/>
                <w:i w:val="0"/>
                <w:iCs w:val="0"/>
                <w:color w:val="000000"/>
                <w:sz w:val="22"/>
                <w:szCs w:val="22"/>
                <w:u w:val="none"/>
              </w:rPr>
            </w:pPr>
          </w:p>
        </w:tc>
      </w:tr>
      <w:tr w14:paraId="176DD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E65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36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A32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路口取电主电源线</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2235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1.名称:管内穿线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2.型号:RVV3*10㎡</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514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7D0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37.8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877B1">
            <w:pPr>
              <w:jc w:val="left"/>
              <w:rPr>
                <w:rFonts w:hint="eastAsia" w:ascii="宋体" w:hAnsi="宋体" w:eastAsia="宋体" w:cs="宋体"/>
                <w:i w:val="0"/>
                <w:iCs w:val="0"/>
                <w:color w:val="000000"/>
                <w:sz w:val="22"/>
                <w:szCs w:val="22"/>
                <w:u w:val="none"/>
              </w:rPr>
            </w:pPr>
          </w:p>
        </w:tc>
      </w:tr>
      <w:tr w14:paraId="13FFE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6BD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37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560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立杆取电电源线</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DE6C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1.名称:管内穿线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2.型号:RVV3*2.5㎡</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E90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FB6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146.9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8E503">
            <w:pPr>
              <w:jc w:val="left"/>
              <w:rPr>
                <w:rFonts w:hint="eastAsia" w:ascii="宋体" w:hAnsi="宋体" w:eastAsia="宋体" w:cs="宋体"/>
                <w:i w:val="0"/>
                <w:iCs w:val="0"/>
                <w:color w:val="000000"/>
                <w:sz w:val="22"/>
                <w:szCs w:val="22"/>
                <w:u w:val="none"/>
              </w:rPr>
            </w:pPr>
          </w:p>
        </w:tc>
      </w:tr>
      <w:tr w14:paraId="6B8FB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D59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38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C4E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设备电源线</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4E5D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1.名称:管内穿线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2.型号:RVV3*1.50㎡</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D2B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DA7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342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A60C3">
            <w:pPr>
              <w:jc w:val="left"/>
              <w:rPr>
                <w:rFonts w:hint="eastAsia" w:ascii="宋体" w:hAnsi="宋体" w:eastAsia="宋体" w:cs="宋体"/>
                <w:i w:val="0"/>
                <w:iCs w:val="0"/>
                <w:color w:val="000000"/>
                <w:sz w:val="22"/>
                <w:szCs w:val="22"/>
                <w:u w:val="none"/>
              </w:rPr>
            </w:pPr>
          </w:p>
        </w:tc>
      </w:tr>
      <w:tr w14:paraId="5DFB4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E05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39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193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设备控制线</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34D5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1.名称:管内穿线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2.型号:RVSP2*1.0㎡</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BB5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B0A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216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2515E">
            <w:pPr>
              <w:jc w:val="left"/>
              <w:rPr>
                <w:rFonts w:hint="eastAsia" w:ascii="宋体" w:hAnsi="宋体" w:eastAsia="宋体" w:cs="宋体"/>
                <w:i w:val="0"/>
                <w:iCs w:val="0"/>
                <w:color w:val="000000"/>
                <w:sz w:val="22"/>
                <w:szCs w:val="22"/>
                <w:u w:val="none"/>
              </w:rPr>
            </w:pPr>
          </w:p>
        </w:tc>
      </w:tr>
      <w:tr w14:paraId="2D7E3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DB5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40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145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6类4对非屏蔽双绞线</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D79E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1.名称:管内穿线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2.型号:六类非屏蔽</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24A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B8B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126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724DF">
            <w:pPr>
              <w:jc w:val="left"/>
              <w:rPr>
                <w:rFonts w:hint="eastAsia" w:ascii="宋体" w:hAnsi="宋体" w:eastAsia="宋体" w:cs="宋体"/>
                <w:i w:val="0"/>
                <w:iCs w:val="0"/>
                <w:color w:val="000000"/>
                <w:sz w:val="22"/>
                <w:szCs w:val="22"/>
                <w:u w:val="none"/>
              </w:rPr>
            </w:pPr>
          </w:p>
        </w:tc>
      </w:tr>
      <w:tr w14:paraId="6E9AC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28D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41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612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地线</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B829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1.名称:管内穿线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2.型号:BVR-16㎡</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A06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A61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40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C02A9">
            <w:pPr>
              <w:jc w:val="left"/>
              <w:rPr>
                <w:rFonts w:hint="eastAsia" w:ascii="宋体" w:hAnsi="宋体" w:eastAsia="宋体" w:cs="宋体"/>
                <w:i w:val="0"/>
                <w:iCs w:val="0"/>
                <w:color w:val="000000"/>
                <w:sz w:val="22"/>
                <w:szCs w:val="22"/>
                <w:u w:val="none"/>
              </w:rPr>
            </w:pPr>
          </w:p>
        </w:tc>
      </w:tr>
      <w:tr w14:paraId="7B7BE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988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42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055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路口内联网光纤</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063B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1.名称:管内穿线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2.型号:4芯室外铠装</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B79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620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146.9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03E42">
            <w:pPr>
              <w:jc w:val="left"/>
              <w:rPr>
                <w:rFonts w:hint="eastAsia" w:ascii="宋体" w:hAnsi="宋体" w:eastAsia="宋体" w:cs="宋体"/>
                <w:i w:val="0"/>
                <w:iCs w:val="0"/>
                <w:color w:val="000000"/>
                <w:sz w:val="22"/>
                <w:szCs w:val="22"/>
                <w:u w:val="none"/>
              </w:rPr>
            </w:pPr>
          </w:p>
        </w:tc>
      </w:tr>
      <w:tr w14:paraId="1D7524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0BF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43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1F1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32PE管</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8E5E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护套 PE子管   32子管</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BA0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1EF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294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4E70F">
            <w:pPr>
              <w:jc w:val="left"/>
              <w:rPr>
                <w:rFonts w:hint="eastAsia" w:ascii="宋体" w:hAnsi="宋体" w:eastAsia="宋体" w:cs="宋体"/>
                <w:i w:val="0"/>
                <w:iCs w:val="0"/>
                <w:color w:val="000000"/>
                <w:sz w:val="22"/>
                <w:szCs w:val="22"/>
                <w:u w:val="none"/>
              </w:rPr>
            </w:pPr>
          </w:p>
        </w:tc>
      </w:tr>
      <w:tr w14:paraId="72493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69E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44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D0C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光纤熔接</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7734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光纤热熔接</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16B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芯</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18F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16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10C66">
            <w:pPr>
              <w:jc w:val="left"/>
              <w:rPr>
                <w:rFonts w:hint="eastAsia" w:ascii="宋体" w:hAnsi="宋体" w:eastAsia="宋体" w:cs="宋体"/>
                <w:i w:val="0"/>
                <w:iCs w:val="0"/>
                <w:color w:val="000000"/>
                <w:sz w:val="22"/>
                <w:szCs w:val="22"/>
                <w:u w:val="none"/>
              </w:rPr>
            </w:pPr>
          </w:p>
        </w:tc>
      </w:tr>
      <w:tr w14:paraId="6CC95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555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45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970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熔纤盒</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23B1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8口光纤熔纤盒</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ECF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F44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481AC">
            <w:pPr>
              <w:jc w:val="left"/>
              <w:rPr>
                <w:rFonts w:hint="eastAsia" w:ascii="宋体" w:hAnsi="宋体" w:eastAsia="宋体" w:cs="宋体"/>
                <w:i w:val="0"/>
                <w:iCs w:val="0"/>
                <w:color w:val="000000"/>
                <w:sz w:val="22"/>
                <w:szCs w:val="22"/>
                <w:u w:val="none"/>
              </w:rPr>
            </w:pPr>
          </w:p>
        </w:tc>
      </w:tr>
      <w:tr w14:paraId="03296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0E9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46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129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布管布线</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B61A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综合布线、接线调试</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74A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78A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1349.6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A1F67">
            <w:pPr>
              <w:jc w:val="left"/>
              <w:rPr>
                <w:rFonts w:hint="eastAsia" w:ascii="宋体" w:hAnsi="宋体" w:eastAsia="宋体" w:cs="宋体"/>
                <w:i w:val="0"/>
                <w:iCs w:val="0"/>
                <w:color w:val="000000"/>
                <w:sz w:val="22"/>
                <w:szCs w:val="22"/>
                <w:u w:val="none"/>
              </w:rPr>
            </w:pPr>
          </w:p>
        </w:tc>
      </w:tr>
      <w:tr w14:paraId="57959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A46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47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572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辅材</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DDB6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五金配件、水晶头、标签、轧带、胶布、波纹管、缠绕管等</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0F0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C74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BEA19">
            <w:pPr>
              <w:jc w:val="left"/>
              <w:rPr>
                <w:rFonts w:hint="eastAsia" w:ascii="宋体" w:hAnsi="宋体" w:eastAsia="宋体" w:cs="宋体"/>
                <w:i w:val="0"/>
                <w:iCs w:val="0"/>
                <w:color w:val="000000"/>
                <w:sz w:val="22"/>
                <w:szCs w:val="22"/>
                <w:u w:val="none"/>
              </w:rPr>
            </w:pPr>
          </w:p>
        </w:tc>
      </w:tr>
      <w:tr w14:paraId="489EA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83F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48 </w:t>
            </w:r>
          </w:p>
        </w:tc>
        <w:tc>
          <w:tcPr>
            <w:tcW w:w="58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82831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2.1前端基建新增立杆</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D3D27">
            <w:pPr>
              <w:jc w:val="left"/>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66C7F">
            <w:pPr>
              <w:jc w:val="left"/>
              <w:rPr>
                <w:rFonts w:hint="eastAsia" w:ascii="宋体" w:hAnsi="宋体" w:eastAsia="宋体" w:cs="宋体"/>
                <w:i w:val="0"/>
                <w:iCs w:val="0"/>
                <w:color w:val="000000"/>
                <w:sz w:val="22"/>
                <w:szCs w:val="22"/>
                <w:u w:val="none"/>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2A529">
            <w:pPr>
              <w:jc w:val="left"/>
              <w:rPr>
                <w:rFonts w:hint="eastAsia" w:ascii="宋体" w:hAnsi="宋体" w:eastAsia="宋体" w:cs="宋体"/>
                <w:i w:val="0"/>
                <w:iCs w:val="0"/>
                <w:color w:val="000000"/>
                <w:sz w:val="22"/>
                <w:szCs w:val="22"/>
                <w:u w:val="none"/>
              </w:rPr>
            </w:pPr>
          </w:p>
        </w:tc>
      </w:tr>
      <w:tr w14:paraId="2E11A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B12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49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10D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新建电子警察立杆(L6.5*13)</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0A0C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规格：立杆八角杆口径为：10mm*300*350mm*6500mm，横杆口径为：8mm*192mm*300mm*8000mm，4mm*110mm*192mm*5000mm，连接法兰为：500mm*500mm*20mm，底座法兰为：700mm*20mm，热镀锌喷漆。</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1C6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A57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B8D32">
            <w:pPr>
              <w:jc w:val="left"/>
              <w:rPr>
                <w:rFonts w:hint="eastAsia" w:ascii="宋体" w:hAnsi="宋体" w:eastAsia="宋体" w:cs="宋体"/>
                <w:i w:val="0"/>
                <w:iCs w:val="0"/>
                <w:color w:val="000000"/>
                <w:sz w:val="22"/>
                <w:szCs w:val="22"/>
                <w:u w:val="none"/>
              </w:rPr>
            </w:pPr>
          </w:p>
        </w:tc>
      </w:tr>
      <w:tr w14:paraId="7090E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B07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50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149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电子警察立杆(L6.5*13)基础制作</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F133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1.现浇钢筋混凝土池独立设备基础，C25预拌混凝土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2.钢筋制作、安装现浇混凝土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3.接地极(板)制作、安裝圆钢接地极普通土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4.接地极镀锌圆钢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5.接地母线敷设户外接地母线敷设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6.地脚螺拴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7.人工控沟糟、基坑一、二类土深度在2m内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 回填土夯实机夯实槽、坑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9.人工装卸汽车运土方运距1km   实际运距(km)：15</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44C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85B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86025">
            <w:pPr>
              <w:jc w:val="left"/>
              <w:rPr>
                <w:rFonts w:hint="eastAsia" w:ascii="宋体" w:hAnsi="宋体" w:eastAsia="宋体" w:cs="宋体"/>
                <w:i w:val="0"/>
                <w:iCs w:val="0"/>
                <w:color w:val="000000"/>
                <w:sz w:val="22"/>
                <w:szCs w:val="22"/>
                <w:u w:val="none"/>
              </w:rPr>
            </w:pPr>
          </w:p>
        </w:tc>
      </w:tr>
      <w:tr w14:paraId="1B643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810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51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EE6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违法抓拍指示牌</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9231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标志板安装单块面积2㎡内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1.3mm厚铝板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2.工程级反光膜</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CAF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ED8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2A61D">
            <w:pPr>
              <w:jc w:val="left"/>
              <w:rPr>
                <w:rFonts w:hint="eastAsia" w:ascii="宋体" w:hAnsi="宋体" w:eastAsia="宋体" w:cs="宋体"/>
                <w:i w:val="0"/>
                <w:iCs w:val="0"/>
                <w:color w:val="000000"/>
                <w:sz w:val="22"/>
                <w:szCs w:val="22"/>
                <w:u w:val="none"/>
              </w:rPr>
            </w:pPr>
          </w:p>
        </w:tc>
      </w:tr>
      <w:tr w14:paraId="69554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456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52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CB7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导流牌</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53FA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1.名称:导流牌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2.规格、种类:铝 厚度：2.00MM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3.反光膜：菱形EGP超工程级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4.尺寸：4000x2000</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B0B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712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DFE0C">
            <w:pPr>
              <w:jc w:val="left"/>
              <w:rPr>
                <w:rFonts w:hint="eastAsia" w:ascii="宋体" w:hAnsi="宋体" w:eastAsia="宋体" w:cs="宋体"/>
                <w:i w:val="0"/>
                <w:iCs w:val="0"/>
                <w:color w:val="000000"/>
                <w:sz w:val="22"/>
                <w:szCs w:val="22"/>
                <w:u w:val="none"/>
              </w:rPr>
            </w:pPr>
          </w:p>
        </w:tc>
      </w:tr>
      <w:tr w14:paraId="4866CF59">
        <w:tblPrEx>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7D1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53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F8D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导流牌标志杆</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6837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1.名称:导流牌标志杆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2.材质:钢管立柱Φ325*8.0*7700,横杆Φ180*6*4800热浸镀锌处理(600g/m2)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3.预埋铁件:地脚螺栓8-M36x1500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4.防护:热镀锌处理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5.其他:人工装卸汽车运土方 运距1km 实际运距(km):10</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CBC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1DB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F26FE">
            <w:pPr>
              <w:jc w:val="left"/>
              <w:rPr>
                <w:rFonts w:hint="eastAsia" w:ascii="宋体" w:hAnsi="宋体" w:eastAsia="宋体" w:cs="宋体"/>
                <w:i w:val="0"/>
                <w:iCs w:val="0"/>
                <w:color w:val="000000"/>
                <w:sz w:val="22"/>
                <w:szCs w:val="22"/>
                <w:u w:val="none"/>
              </w:rPr>
            </w:pPr>
          </w:p>
        </w:tc>
      </w:tr>
      <w:tr w14:paraId="5B52B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DBF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54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09F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导流牌立杆基础</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979F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1.名称:立杆基础（1500mm*1500mm*1600mm）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 内容:1.现浇钢筋混凝土池独立设备基础(体积) 5m3以内 C25混凝土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2.钢筋制作、安装现浇混凝土Φ10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3.接地极(板)制作、安装-圆钢接地极普通土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4.接地极镀锌圆钢 D20*1500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5.接地母线數设户外接地母线数设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6.地脚螺栓 M27-1800*8mm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7.法兰盘 D500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8.人工挖沟權、基坑一、二类土深度在2m内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 回壊土夯实机夯实權、坑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10.人工装卸汽车运土方运距1km 实际运距(km):15</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DEE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21E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CDD19">
            <w:pPr>
              <w:jc w:val="left"/>
              <w:rPr>
                <w:rFonts w:hint="eastAsia" w:ascii="宋体" w:hAnsi="宋体" w:eastAsia="宋体" w:cs="宋体"/>
                <w:i w:val="0"/>
                <w:iCs w:val="0"/>
                <w:color w:val="000000"/>
                <w:sz w:val="22"/>
                <w:szCs w:val="22"/>
                <w:u w:val="none"/>
              </w:rPr>
            </w:pPr>
          </w:p>
        </w:tc>
      </w:tr>
      <w:tr w14:paraId="48C58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6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4DB1C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科苑大道鹅岭路路口电子警察预算</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A5B13">
            <w:pPr>
              <w:jc w:val="left"/>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91809">
            <w:pPr>
              <w:jc w:val="left"/>
              <w:rPr>
                <w:rFonts w:hint="eastAsia" w:ascii="宋体" w:hAnsi="宋体" w:eastAsia="宋体" w:cs="宋体"/>
                <w:i w:val="0"/>
                <w:iCs w:val="0"/>
                <w:color w:val="000000"/>
                <w:sz w:val="22"/>
                <w:szCs w:val="22"/>
                <w:u w:val="none"/>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39A58">
            <w:pPr>
              <w:jc w:val="left"/>
              <w:rPr>
                <w:rFonts w:hint="eastAsia" w:ascii="宋体" w:hAnsi="宋体" w:eastAsia="宋体" w:cs="宋体"/>
                <w:i w:val="0"/>
                <w:iCs w:val="0"/>
                <w:color w:val="000000"/>
                <w:sz w:val="22"/>
                <w:szCs w:val="22"/>
                <w:u w:val="none"/>
              </w:rPr>
            </w:pPr>
          </w:p>
        </w:tc>
      </w:tr>
      <w:tr w14:paraId="09019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635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58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73B2A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 闯红灯电警抓拍</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768ED">
            <w:pPr>
              <w:jc w:val="left"/>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A0D3C">
            <w:pPr>
              <w:jc w:val="left"/>
              <w:rPr>
                <w:rFonts w:hint="eastAsia" w:ascii="宋体" w:hAnsi="宋体" w:eastAsia="宋体" w:cs="宋体"/>
                <w:i w:val="0"/>
                <w:iCs w:val="0"/>
                <w:color w:val="000000"/>
                <w:sz w:val="22"/>
                <w:szCs w:val="22"/>
                <w:u w:val="none"/>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CF863">
            <w:pPr>
              <w:jc w:val="left"/>
              <w:rPr>
                <w:rFonts w:hint="eastAsia" w:ascii="宋体" w:hAnsi="宋体" w:eastAsia="宋体" w:cs="宋体"/>
                <w:i w:val="0"/>
                <w:iCs w:val="0"/>
                <w:color w:val="000000"/>
                <w:sz w:val="22"/>
                <w:szCs w:val="22"/>
                <w:u w:val="none"/>
              </w:rPr>
            </w:pPr>
          </w:p>
        </w:tc>
      </w:tr>
      <w:tr w14:paraId="3C91F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D55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26C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电子警察900万一体化抓拍单元</w:t>
            </w:r>
          </w:p>
        </w:tc>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3375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详见设备参数要求</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C75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6AF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E68F6">
            <w:pPr>
              <w:jc w:val="left"/>
              <w:rPr>
                <w:rFonts w:hint="eastAsia" w:ascii="宋体" w:hAnsi="宋体" w:eastAsia="宋体" w:cs="宋体"/>
                <w:i w:val="0"/>
                <w:iCs w:val="0"/>
                <w:color w:val="000000"/>
                <w:sz w:val="22"/>
                <w:szCs w:val="22"/>
                <w:u w:val="none"/>
              </w:rPr>
            </w:pPr>
          </w:p>
        </w:tc>
      </w:tr>
      <w:tr w14:paraId="021C6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3CB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5F5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二合一网络防雷器</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2E56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1.名称:网络防雷器;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2.适用于网络摄像枪的雷电及电涌防护</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938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6CE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5B19D">
            <w:pPr>
              <w:jc w:val="left"/>
              <w:rPr>
                <w:rFonts w:hint="eastAsia" w:ascii="宋体" w:hAnsi="宋体" w:eastAsia="宋体" w:cs="宋体"/>
                <w:i w:val="0"/>
                <w:iCs w:val="0"/>
                <w:color w:val="000000"/>
                <w:sz w:val="22"/>
                <w:szCs w:val="22"/>
                <w:u w:val="none"/>
              </w:rPr>
            </w:pPr>
          </w:p>
        </w:tc>
      </w:tr>
      <w:tr w14:paraId="0D834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377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8C7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抱箍+底座</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9BBC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横杆装/白/钢/抱箍直径为Φ67-127mm</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412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768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BC560">
            <w:pPr>
              <w:jc w:val="left"/>
              <w:rPr>
                <w:rFonts w:hint="eastAsia" w:ascii="宋体" w:hAnsi="宋体" w:eastAsia="宋体" w:cs="宋体"/>
                <w:i w:val="0"/>
                <w:iCs w:val="0"/>
                <w:color w:val="000000"/>
                <w:sz w:val="22"/>
                <w:szCs w:val="22"/>
                <w:u w:val="none"/>
              </w:rPr>
            </w:pPr>
          </w:p>
        </w:tc>
      </w:tr>
      <w:tr w14:paraId="06974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821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88D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暖光LED频闪灯25°(3500K)</w:t>
            </w:r>
          </w:p>
        </w:tc>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8923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详见设备参数要求</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208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787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DE2EE">
            <w:pPr>
              <w:jc w:val="left"/>
              <w:rPr>
                <w:rFonts w:hint="eastAsia" w:ascii="宋体" w:hAnsi="宋体" w:eastAsia="宋体" w:cs="宋体"/>
                <w:i w:val="0"/>
                <w:iCs w:val="0"/>
                <w:color w:val="000000"/>
                <w:sz w:val="22"/>
                <w:szCs w:val="22"/>
                <w:u w:val="none"/>
              </w:rPr>
            </w:pPr>
          </w:p>
        </w:tc>
      </w:tr>
      <w:tr w14:paraId="0EF94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219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E3F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室外抱杆机箱</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3812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【抱杆】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含双路220V防雷，双路空气开关1个，单路空气开关1个，三芯、二芯插座1个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结构：整体结构采用拼焊结构，牢固、钢性好、牢固可靠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防护等级IP55，保护内部设备不受外界恶劣环境的干扰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机柜采用主体焊接、部分拼装的结构，保证了防护性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采用的是专用户外柜锁，具有良好的防水、防盗性能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环境适应性好，能最大限度地降低设备对环境的要求接地系统安全可靠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机柜底部进出线缆，有效实现防水、防尘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机柜采用抱杆安装方式，安装高度距离地面2.5m~3.5m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（安装抱箍需定制），具有防虫、防鼠功效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柜门采用防风结构（即门限位装置）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一般规范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工作湿度：湿度5%~95%@40℃, 无凝结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工作温度：温度-40℃~70℃</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3E9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E86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C5320">
            <w:pPr>
              <w:jc w:val="left"/>
              <w:rPr>
                <w:rFonts w:hint="eastAsia" w:ascii="宋体" w:hAnsi="宋体" w:eastAsia="宋体" w:cs="宋体"/>
                <w:i w:val="0"/>
                <w:iCs w:val="0"/>
                <w:color w:val="000000"/>
                <w:sz w:val="22"/>
                <w:szCs w:val="22"/>
                <w:u w:val="none"/>
              </w:rPr>
            </w:pPr>
          </w:p>
        </w:tc>
      </w:tr>
      <w:tr w14:paraId="0EA98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C95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0CA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自动重合闸</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B851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自动重合闸，电源方式:交流电，电压:1000V(不含)-1500V(含)，灭弧方式: 真空断路器，漏电保护器类型:2P。</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760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EEC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F6B70">
            <w:pPr>
              <w:jc w:val="left"/>
              <w:rPr>
                <w:rFonts w:hint="eastAsia" w:ascii="宋体" w:hAnsi="宋体" w:eastAsia="宋体" w:cs="宋体"/>
                <w:i w:val="0"/>
                <w:iCs w:val="0"/>
                <w:color w:val="000000"/>
                <w:sz w:val="22"/>
                <w:szCs w:val="22"/>
                <w:u w:val="none"/>
              </w:rPr>
            </w:pPr>
          </w:p>
        </w:tc>
      </w:tr>
      <w:tr w14:paraId="670B2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7EF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44E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防雷排插</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5929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1.氧化锌压敏电阻防雷设计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2.高温熔断保护器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3.防雷指示灯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4.750℃阻燃PP材料</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BE3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0DE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3C064">
            <w:pPr>
              <w:jc w:val="left"/>
              <w:rPr>
                <w:rFonts w:hint="eastAsia" w:ascii="宋体" w:hAnsi="宋体" w:eastAsia="宋体" w:cs="宋体"/>
                <w:i w:val="0"/>
                <w:iCs w:val="0"/>
                <w:color w:val="000000"/>
                <w:sz w:val="22"/>
                <w:szCs w:val="22"/>
                <w:u w:val="none"/>
              </w:rPr>
            </w:pPr>
          </w:p>
        </w:tc>
      </w:tr>
      <w:tr w14:paraId="6B858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964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B82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电信级光纤收发器A端</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97E7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1.光口：1个千兆光口，距离20公里，FC口，单模单纤；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 电口：4个千兆网口；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3.防雷6000V IP40防护等级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4.安装方式：工业导轨式</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AF8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C19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23B7B">
            <w:pPr>
              <w:jc w:val="left"/>
              <w:rPr>
                <w:rFonts w:hint="eastAsia" w:ascii="宋体" w:hAnsi="宋体" w:eastAsia="宋体" w:cs="宋体"/>
                <w:i w:val="0"/>
                <w:iCs w:val="0"/>
                <w:color w:val="000000"/>
                <w:sz w:val="22"/>
                <w:szCs w:val="22"/>
                <w:u w:val="none"/>
              </w:rPr>
            </w:pPr>
          </w:p>
        </w:tc>
      </w:tr>
      <w:tr w14:paraId="70ACF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215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34C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电信级光纤收发器B端</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678B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1.光口：1个千兆光口，距离20公里，FC口，单模单纤；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 电口：1个千兆网口；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3.防雷6000V IP40防护等级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4.安装方式：工业导轨式</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84A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E28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5E4CD">
            <w:pPr>
              <w:jc w:val="left"/>
              <w:rPr>
                <w:rFonts w:hint="eastAsia" w:ascii="宋体" w:hAnsi="宋体" w:eastAsia="宋体" w:cs="宋体"/>
                <w:i w:val="0"/>
                <w:iCs w:val="0"/>
                <w:color w:val="000000"/>
                <w:sz w:val="22"/>
                <w:szCs w:val="22"/>
                <w:u w:val="none"/>
              </w:rPr>
            </w:pPr>
          </w:p>
        </w:tc>
      </w:tr>
      <w:tr w14:paraId="21F32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569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11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311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设备安装调试</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3342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1.设备固定安装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2.设备接线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3.监控设备画面调试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4.灯光效果调试</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D95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1CA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E02C4">
            <w:pPr>
              <w:jc w:val="left"/>
              <w:rPr>
                <w:rFonts w:hint="eastAsia" w:ascii="宋体" w:hAnsi="宋体" w:eastAsia="宋体" w:cs="宋体"/>
                <w:i w:val="0"/>
                <w:iCs w:val="0"/>
                <w:color w:val="000000"/>
                <w:sz w:val="22"/>
                <w:szCs w:val="22"/>
                <w:u w:val="none"/>
              </w:rPr>
            </w:pPr>
          </w:p>
        </w:tc>
      </w:tr>
      <w:tr w14:paraId="5B672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3C5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12 </w:t>
            </w:r>
          </w:p>
        </w:tc>
        <w:tc>
          <w:tcPr>
            <w:tcW w:w="58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72C3C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1.2.反向电警（人脸）抓拍</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8EE4D">
            <w:pPr>
              <w:jc w:val="left"/>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F8F5E">
            <w:pPr>
              <w:jc w:val="left"/>
              <w:rPr>
                <w:rFonts w:hint="eastAsia" w:ascii="宋体" w:hAnsi="宋体" w:eastAsia="宋体" w:cs="宋体"/>
                <w:i w:val="0"/>
                <w:iCs w:val="0"/>
                <w:color w:val="000000"/>
                <w:sz w:val="22"/>
                <w:szCs w:val="22"/>
                <w:u w:val="none"/>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903E1">
            <w:pPr>
              <w:jc w:val="left"/>
              <w:rPr>
                <w:rFonts w:hint="eastAsia" w:ascii="宋体" w:hAnsi="宋体" w:eastAsia="宋体" w:cs="宋体"/>
                <w:i w:val="0"/>
                <w:iCs w:val="0"/>
                <w:color w:val="000000"/>
                <w:sz w:val="22"/>
                <w:szCs w:val="22"/>
                <w:u w:val="none"/>
              </w:rPr>
            </w:pPr>
          </w:p>
        </w:tc>
      </w:tr>
      <w:tr w14:paraId="01721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2D0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13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69A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生态卡口一体化抓拍单元</w:t>
            </w:r>
          </w:p>
        </w:tc>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DD6B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详见设备参数要求</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1ED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4486275</wp:posOffset>
                  </wp:positionV>
                  <wp:extent cx="68580" cy="52705"/>
                  <wp:effectExtent l="0" t="0" r="0" b="0"/>
                  <wp:wrapNone/>
                  <wp:docPr id="57" name="textbox13_SpCnt_21"/>
                  <wp:cNvGraphicFramePr/>
                  <a:graphic xmlns:a="http://schemas.openxmlformats.org/drawingml/2006/main">
                    <a:graphicData uri="http://schemas.openxmlformats.org/drawingml/2006/picture">
                      <pic:pic xmlns:pic="http://schemas.openxmlformats.org/drawingml/2006/picture">
                        <pic:nvPicPr>
                          <pic:cNvPr id="57" name="textbox13_SpCnt_21"/>
                          <pic:cNvPicPr/>
                        </pic:nvPicPr>
                        <pic:blipFill>
                          <a:blip r:embed="rId26"/>
                          <a:stretch>
                            <a:fillRect/>
                          </a:stretch>
                        </pic:blipFill>
                        <pic:spPr>
                          <a:xfrm>
                            <a:off x="0" y="0"/>
                            <a:ext cx="68580" cy="5270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EBB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1E542">
            <w:pPr>
              <w:jc w:val="left"/>
              <w:rPr>
                <w:rFonts w:hint="eastAsia" w:ascii="宋体" w:hAnsi="宋体" w:eastAsia="宋体" w:cs="宋体"/>
                <w:i w:val="0"/>
                <w:iCs w:val="0"/>
                <w:color w:val="000000"/>
                <w:sz w:val="22"/>
                <w:szCs w:val="22"/>
                <w:u w:val="none"/>
              </w:rPr>
            </w:pPr>
          </w:p>
        </w:tc>
      </w:tr>
      <w:tr w14:paraId="0EE43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7E3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14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5F6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50mm定焦镜头（手动光圈）</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7ACB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道温，接3口0 ℃；70℃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人脸像素：100*100，抓拍距离24米；</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91C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A68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9FE70">
            <w:pPr>
              <w:jc w:val="left"/>
              <w:rPr>
                <w:rFonts w:hint="eastAsia" w:ascii="宋体" w:hAnsi="宋体" w:eastAsia="宋体" w:cs="宋体"/>
                <w:i w:val="0"/>
                <w:iCs w:val="0"/>
                <w:color w:val="000000"/>
                <w:sz w:val="22"/>
                <w:szCs w:val="22"/>
                <w:u w:val="none"/>
              </w:rPr>
            </w:pPr>
          </w:p>
        </w:tc>
      </w:tr>
      <w:tr w14:paraId="5EEF9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71F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15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0AA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二合一网络防雷器</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14D6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1.名称:网络防雷器;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2.适用于网络摄像枪的雷电及电涌防护</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9C1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3E1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9EF25">
            <w:pPr>
              <w:jc w:val="left"/>
              <w:rPr>
                <w:rFonts w:hint="eastAsia" w:ascii="宋体" w:hAnsi="宋体" w:eastAsia="宋体" w:cs="宋体"/>
                <w:i w:val="0"/>
                <w:iCs w:val="0"/>
                <w:color w:val="000000"/>
                <w:sz w:val="22"/>
                <w:szCs w:val="22"/>
                <w:u w:val="none"/>
              </w:rPr>
            </w:pPr>
          </w:p>
        </w:tc>
      </w:tr>
      <w:tr w14:paraId="10C43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5F4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16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B81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抱箍+底座</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33AE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横杆装/白/钢/抱箍直径为Φ67-127mm</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415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5CB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11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BFAFA">
            <w:pPr>
              <w:jc w:val="left"/>
              <w:rPr>
                <w:rFonts w:hint="eastAsia" w:ascii="宋体" w:hAnsi="宋体" w:eastAsia="宋体" w:cs="宋体"/>
                <w:i w:val="0"/>
                <w:iCs w:val="0"/>
                <w:color w:val="000000"/>
                <w:sz w:val="22"/>
                <w:szCs w:val="22"/>
                <w:u w:val="none"/>
              </w:rPr>
            </w:pPr>
          </w:p>
        </w:tc>
      </w:tr>
      <w:tr w14:paraId="77638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684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17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3BC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四合一生态补光灯（防眩光）</w:t>
            </w:r>
          </w:p>
        </w:tc>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B146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详见设备参数要求</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335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023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12F9F">
            <w:pPr>
              <w:jc w:val="left"/>
              <w:rPr>
                <w:rFonts w:hint="eastAsia" w:ascii="宋体" w:hAnsi="宋体" w:eastAsia="宋体" w:cs="宋体"/>
                <w:i w:val="0"/>
                <w:iCs w:val="0"/>
                <w:color w:val="000000"/>
                <w:sz w:val="22"/>
                <w:szCs w:val="22"/>
                <w:u w:val="none"/>
              </w:rPr>
            </w:pPr>
          </w:p>
        </w:tc>
      </w:tr>
      <w:tr w14:paraId="60ED6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F72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18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81A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设备安装调试</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7EE0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1.设备固定安装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2.设备接线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3.监控设备画面调试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4.灯光效果调试</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734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5BD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11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8869B">
            <w:pPr>
              <w:jc w:val="left"/>
              <w:rPr>
                <w:rFonts w:hint="eastAsia" w:ascii="宋体" w:hAnsi="宋体" w:eastAsia="宋体" w:cs="宋体"/>
                <w:i w:val="0"/>
                <w:iCs w:val="0"/>
                <w:color w:val="000000"/>
                <w:sz w:val="22"/>
                <w:szCs w:val="22"/>
                <w:u w:val="none"/>
              </w:rPr>
            </w:pPr>
          </w:p>
        </w:tc>
      </w:tr>
      <w:tr w14:paraId="6B27A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440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19 </w:t>
            </w:r>
          </w:p>
        </w:tc>
        <w:tc>
          <w:tcPr>
            <w:tcW w:w="58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81050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1.3.全景球（网络球机）</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EFC15">
            <w:pPr>
              <w:jc w:val="left"/>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66785">
            <w:pPr>
              <w:jc w:val="left"/>
              <w:rPr>
                <w:rFonts w:hint="eastAsia" w:ascii="宋体" w:hAnsi="宋体" w:eastAsia="宋体" w:cs="宋体"/>
                <w:i w:val="0"/>
                <w:iCs w:val="0"/>
                <w:color w:val="000000"/>
                <w:sz w:val="22"/>
                <w:szCs w:val="22"/>
                <w:u w:val="none"/>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75DB9">
            <w:pPr>
              <w:jc w:val="left"/>
              <w:rPr>
                <w:rFonts w:hint="eastAsia" w:ascii="宋体" w:hAnsi="宋体" w:eastAsia="宋体" w:cs="宋体"/>
                <w:i w:val="0"/>
                <w:iCs w:val="0"/>
                <w:color w:val="000000"/>
                <w:sz w:val="22"/>
                <w:szCs w:val="22"/>
                <w:u w:val="none"/>
              </w:rPr>
            </w:pPr>
          </w:p>
        </w:tc>
      </w:tr>
      <w:tr w14:paraId="22117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620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20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641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智慧交通网络球机</w:t>
            </w:r>
          </w:p>
        </w:tc>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3BB8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详见设备参数要求</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FCD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4486275</wp:posOffset>
                  </wp:positionV>
                  <wp:extent cx="68580" cy="52705"/>
                  <wp:effectExtent l="0" t="0" r="0" b="0"/>
                  <wp:wrapNone/>
                  <wp:docPr id="58" name="textbox13_SpCnt_22"/>
                  <wp:cNvGraphicFramePr/>
                  <a:graphic xmlns:a="http://schemas.openxmlformats.org/drawingml/2006/main">
                    <a:graphicData uri="http://schemas.openxmlformats.org/drawingml/2006/picture">
                      <pic:pic xmlns:pic="http://schemas.openxmlformats.org/drawingml/2006/picture">
                        <pic:nvPicPr>
                          <pic:cNvPr id="58" name="textbox13_SpCnt_22"/>
                          <pic:cNvPicPr/>
                        </pic:nvPicPr>
                        <pic:blipFill>
                          <a:blip r:embed="rId26"/>
                          <a:stretch>
                            <a:fillRect/>
                          </a:stretch>
                        </pic:blipFill>
                        <pic:spPr>
                          <a:xfrm>
                            <a:off x="0" y="0"/>
                            <a:ext cx="68580" cy="5270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CE1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9BAD9">
            <w:pPr>
              <w:jc w:val="left"/>
              <w:rPr>
                <w:rFonts w:hint="eastAsia" w:ascii="宋体" w:hAnsi="宋体" w:eastAsia="宋体" w:cs="宋体"/>
                <w:i w:val="0"/>
                <w:iCs w:val="0"/>
                <w:color w:val="000000"/>
                <w:sz w:val="22"/>
                <w:szCs w:val="22"/>
                <w:u w:val="none"/>
              </w:rPr>
            </w:pPr>
          </w:p>
        </w:tc>
      </w:tr>
      <w:tr w14:paraId="376DD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E3A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21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B7F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吊装支架</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822A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铝合金；白色；最大承重7.0kg；吊装；</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A3A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0BF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365D4">
            <w:pPr>
              <w:jc w:val="left"/>
              <w:rPr>
                <w:rFonts w:hint="eastAsia" w:ascii="宋体" w:hAnsi="宋体" w:eastAsia="宋体" w:cs="宋体"/>
                <w:i w:val="0"/>
                <w:iCs w:val="0"/>
                <w:color w:val="000000"/>
                <w:sz w:val="22"/>
                <w:szCs w:val="22"/>
                <w:u w:val="none"/>
              </w:rPr>
            </w:pPr>
          </w:p>
        </w:tc>
      </w:tr>
      <w:tr w14:paraId="652B19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CE4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22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C94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设备安装调试</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F50C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1.设备固定安装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2.设备接线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3.监控设备画面调试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4.灯光效果调试</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DBC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4AC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25281">
            <w:pPr>
              <w:jc w:val="left"/>
              <w:rPr>
                <w:rFonts w:hint="eastAsia" w:ascii="宋体" w:hAnsi="宋体" w:eastAsia="宋体" w:cs="宋体"/>
                <w:i w:val="0"/>
                <w:iCs w:val="0"/>
                <w:color w:val="000000"/>
                <w:sz w:val="22"/>
                <w:szCs w:val="22"/>
                <w:u w:val="none"/>
              </w:rPr>
            </w:pPr>
          </w:p>
        </w:tc>
      </w:tr>
      <w:tr w14:paraId="18BAF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33F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23 </w:t>
            </w:r>
          </w:p>
        </w:tc>
        <w:tc>
          <w:tcPr>
            <w:tcW w:w="58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215E8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 电警汇聚设备</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F19DE">
            <w:pPr>
              <w:jc w:val="left"/>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92D86">
            <w:pPr>
              <w:jc w:val="left"/>
              <w:rPr>
                <w:rFonts w:hint="eastAsia" w:ascii="宋体" w:hAnsi="宋体" w:eastAsia="宋体" w:cs="宋体"/>
                <w:i w:val="0"/>
                <w:iCs w:val="0"/>
                <w:color w:val="000000"/>
                <w:sz w:val="22"/>
                <w:szCs w:val="22"/>
                <w:u w:val="none"/>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18386">
            <w:pPr>
              <w:jc w:val="left"/>
              <w:rPr>
                <w:rFonts w:hint="eastAsia" w:ascii="宋体" w:hAnsi="宋体" w:eastAsia="宋体" w:cs="宋体"/>
                <w:i w:val="0"/>
                <w:iCs w:val="0"/>
                <w:color w:val="000000"/>
                <w:sz w:val="22"/>
                <w:szCs w:val="22"/>
                <w:u w:val="none"/>
              </w:rPr>
            </w:pPr>
          </w:p>
        </w:tc>
      </w:tr>
      <w:tr w14:paraId="2D9F0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661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24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E72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16路智能终端管理盒</w:t>
            </w:r>
          </w:p>
        </w:tc>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6793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详见设备参数要求</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898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4486275</wp:posOffset>
                  </wp:positionV>
                  <wp:extent cx="68580" cy="52705"/>
                  <wp:effectExtent l="0" t="0" r="0" b="0"/>
                  <wp:wrapNone/>
                  <wp:docPr id="59" name="textbox13_SpCnt_23"/>
                  <wp:cNvGraphicFramePr/>
                  <a:graphic xmlns:a="http://schemas.openxmlformats.org/drawingml/2006/main">
                    <a:graphicData uri="http://schemas.openxmlformats.org/drawingml/2006/picture">
                      <pic:pic xmlns:pic="http://schemas.openxmlformats.org/drawingml/2006/picture">
                        <pic:nvPicPr>
                          <pic:cNvPr id="59" name="textbox13_SpCnt_23"/>
                          <pic:cNvPicPr/>
                        </pic:nvPicPr>
                        <pic:blipFill>
                          <a:blip r:embed="rId26"/>
                          <a:stretch>
                            <a:fillRect/>
                          </a:stretch>
                        </pic:blipFill>
                        <pic:spPr>
                          <a:xfrm>
                            <a:off x="0" y="0"/>
                            <a:ext cx="68580" cy="5270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3B9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BF6BB">
            <w:pPr>
              <w:jc w:val="left"/>
              <w:rPr>
                <w:rFonts w:hint="eastAsia" w:ascii="宋体" w:hAnsi="宋体" w:eastAsia="宋体" w:cs="宋体"/>
                <w:i w:val="0"/>
                <w:iCs w:val="0"/>
                <w:color w:val="000000"/>
                <w:sz w:val="22"/>
                <w:szCs w:val="22"/>
                <w:u w:val="none"/>
              </w:rPr>
            </w:pPr>
          </w:p>
        </w:tc>
      </w:tr>
      <w:tr w14:paraId="6C897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2B9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25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FA2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交换机</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B64A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千兆以太网交换机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8个10/100Base-TX以太网端口，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1个10/100/1000Base-T以太网端口，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1个复用的千兆Combo SFP</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C36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4486275</wp:posOffset>
                  </wp:positionV>
                  <wp:extent cx="68580" cy="52705"/>
                  <wp:effectExtent l="0" t="0" r="0" b="0"/>
                  <wp:wrapNone/>
                  <wp:docPr id="60" name="textbox13_SpCnt_24"/>
                  <wp:cNvGraphicFramePr/>
                  <a:graphic xmlns:a="http://schemas.openxmlformats.org/drawingml/2006/main">
                    <a:graphicData uri="http://schemas.openxmlformats.org/drawingml/2006/picture">
                      <pic:pic xmlns:pic="http://schemas.openxmlformats.org/drawingml/2006/picture">
                        <pic:nvPicPr>
                          <pic:cNvPr id="60" name="textbox13_SpCnt_24"/>
                          <pic:cNvPicPr/>
                        </pic:nvPicPr>
                        <pic:blipFill>
                          <a:blip r:embed="rId26"/>
                          <a:stretch>
                            <a:fillRect/>
                          </a:stretch>
                        </pic:blipFill>
                        <pic:spPr>
                          <a:xfrm>
                            <a:off x="0" y="0"/>
                            <a:ext cx="68580" cy="5270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AAA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3666A">
            <w:pPr>
              <w:jc w:val="left"/>
              <w:rPr>
                <w:rFonts w:hint="eastAsia" w:ascii="宋体" w:hAnsi="宋体" w:eastAsia="宋体" w:cs="宋体"/>
                <w:i w:val="0"/>
                <w:iCs w:val="0"/>
                <w:color w:val="000000"/>
                <w:sz w:val="22"/>
                <w:szCs w:val="22"/>
                <w:u w:val="none"/>
              </w:rPr>
            </w:pPr>
          </w:p>
        </w:tc>
      </w:tr>
      <w:tr w14:paraId="743D7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A84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26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E36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电警路口落地机柜</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66EF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【落地机柜】（不含帽檐和基座）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含双路220V防雷，双路空气开关1个，单路空气开关8个，  三芯维护插座1个防护等级IP55</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A56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550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8487C">
            <w:pPr>
              <w:jc w:val="left"/>
              <w:rPr>
                <w:rFonts w:hint="eastAsia" w:ascii="宋体" w:hAnsi="宋体" w:eastAsia="宋体" w:cs="宋体"/>
                <w:i w:val="0"/>
                <w:iCs w:val="0"/>
                <w:color w:val="000000"/>
                <w:sz w:val="22"/>
                <w:szCs w:val="22"/>
                <w:u w:val="none"/>
              </w:rPr>
            </w:pPr>
          </w:p>
        </w:tc>
      </w:tr>
      <w:tr w14:paraId="3C8CA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34E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27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B17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落地机柜基座</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5698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1.600mm×450mm底座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2.水泥沙砖铺设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3.贴白色瓷砖</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4.底座防雷制作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5.PVC-U电缆保护管 DN110引上</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E04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D05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3D36B">
            <w:pPr>
              <w:jc w:val="left"/>
              <w:rPr>
                <w:rFonts w:hint="eastAsia" w:ascii="宋体" w:hAnsi="宋体" w:eastAsia="宋体" w:cs="宋体"/>
                <w:i w:val="0"/>
                <w:iCs w:val="0"/>
                <w:color w:val="000000"/>
                <w:sz w:val="22"/>
                <w:szCs w:val="22"/>
                <w:u w:val="none"/>
              </w:rPr>
            </w:pPr>
          </w:p>
        </w:tc>
      </w:tr>
      <w:tr w14:paraId="35265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888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28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787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千箱美化</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6A1B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一般性质道路人行道边小型箱体彩绘，可以融入地域特色，或者选取周边建筑等基础作为颜色及形式参考，即可以体现本土文化，又能与周边协调。</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68A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978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30C29">
            <w:pPr>
              <w:jc w:val="left"/>
              <w:rPr>
                <w:rFonts w:hint="eastAsia" w:ascii="宋体" w:hAnsi="宋体" w:eastAsia="宋体" w:cs="宋体"/>
                <w:i w:val="0"/>
                <w:iCs w:val="0"/>
                <w:color w:val="000000"/>
                <w:sz w:val="22"/>
                <w:szCs w:val="22"/>
                <w:u w:val="none"/>
              </w:rPr>
            </w:pPr>
          </w:p>
        </w:tc>
      </w:tr>
      <w:tr w14:paraId="5F4D8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E40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29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E70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接地装置</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7D0C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1.名称:接地母线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2.材质:镀锌扁钢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3.规格:-50*5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4.防雷接地极安装，接地主排引出，降阻剂及降阻模块安装，保证地阻低于10欧姆；</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344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4486275</wp:posOffset>
                  </wp:positionV>
                  <wp:extent cx="68580" cy="52705"/>
                  <wp:effectExtent l="0" t="0" r="0" b="0"/>
                  <wp:wrapNone/>
                  <wp:docPr id="61" name="textbox13_SpCnt_25"/>
                  <wp:cNvGraphicFramePr/>
                  <a:graphic xmlns:a="http://schemas.openxmlformats.org/drawingml/2006/main">
                    <a:graphicData uri="http://schemas.openxmlformats.org/drawingml/2006/picture">
                      <pic:pic xmlns:pic="http://schemas.openxmlformats.org/drawingml/2006/picture">
                        <pic:nvPicPr>
                          <pic:cNvPr id="61" name="textbox13_SpCnt_25"/>
                          <pic:cNvPicPr/>
                        </pic:nvPicPr>
                        <pic:blipFill>
                          <a:blip r:embed="rId26"/>
                          <a:stretch>
                            <a:fillRect/>
                          </a:stretch>
                        </pic:blipFill>
                        <pic:spPr>
                          <a:xfrm>
                            <a:off x="0" y="0"/>
                            <a:ext cx="68580" cy="5270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D57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1F8F0">
            <w:pPr>
              <w:jc w:val="left"/>
              <w:rPr>
                <w:rFonts w:hint="eastAsia" w:ascii="宋体" w:hAnsi="宋体" w:eastAsia="宋体" w:cs="宋体"/>
                <w:i w:val="0"/>
                <w:iCs w:val="0"/>
                <w:color w:val="000000"/>
                <w:sz w:val="22"/>
                <w:szCs w:val="22"/>
                <w:u w:val="none"/>
              </w:rPr>
            </w:pPr>
          </w:p>
        </w:tc>
      </w:tr>
      <w:tr w14:paraId="30A90E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892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30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AD6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自动重合闸</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7EA3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自动重合闸，电源方式:交流电，电压:1000V(不含)-1500V(含)，灭弧方式: 真空断路器，漏电保护器类型:2P。</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353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4486275</wp:posOffset>
                  </wp:positionV>
                  <wp:extent cx="68580" cy="52705"/>
                  <wp:effectExtent l="0" t="0" r="0" b="0"/>
                  <wp:wrapNone/>
                  <wp:docPr id="62" name="textbox13_SpCnt_26"/>
                  <wp:cNvGraphicFramePr/>
                  <a:graphic xmlns:a="http://schemas.openxmlformats.org/drawingml/2006/main">
                    <a:graphicData uri="http://schemas.openxmlformats.org/drawingml/2006/picture">
                      <pic:pic xmlns:pic="http://schemas.openxmlformats.org/drawingml/2006/picture">
                        <pic:nvPicPr>
                          <pic:cNvPr id="62" name="textbox13_SpCnt_26"/>
                          <pic:cNvPicPr/>
                        </pic:nvPicPr>
                        <pic:blipFill>
                          <a:blip r:embed="rId26"/>
                          <a:stretch>
                            <a:fillRect/>
                          </a:stretch>
                        </pic:blipFill>
                        <pic:spPr>
                          <a:xfrm>
                            <a:off x="0" y="0"/>
                            <a:ext cx="68580" cy="5270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743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DF457">
            <w:pPr>
              <w:jc w:val="left"/>
              <w:rPr>
                <w:rFonts w:hint="eastAsia" w:ascii="宋体" w:hAnsi="宋体" w:eastAsia="宋体" w:cs="宋体"/>
                <w:i w:val="0"/>
                <w:iCs w:val="0"/>
                <w:color w:val="000000"/>
                <w:sz w:val="22"/>
                <w:szCs w:val="22"/>
                <w:u w:val="none"/>
              </w:rPr>
            </w:pPr>
          </w:p>
        </w:tc>
      </w:tr>
      <w:tr w14:paraId="78C0C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3E7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31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260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电源防雷模块</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B5C9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1.极数2P</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2.额定持续电压275V</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3.标称放电电流40KA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4.保护水平1.5KV</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D06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8D4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6FCBA">
            <w:pPr>
              <w:jc w:val="left"/>
              <w:rPr>
                <w:rFonts w:hint="eastAsia" w:ascii="宋体" w:hAnsi="宋体" w:eastAsia="宋体" w:cs="宋体"/>
                <w:i w:val="0"/>
                <w:iCs w:val="0"/>
                <w:color w:val="000000"/>
                <w:sz w:val="22"/>
                <w:szCs w:val="22"/>
                <w:u w:val="none"/>
              </w:rPr>
            </w:pPr>
          </w:p>
        </w:tc>
      </w:tr>
      <w:tr w14:paraId="24D3B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E00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32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7BC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落地机柜强电模块</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853E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1.63A2P漏电保护开关X1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2.20A2P空气保护开关X4</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3.10A2P空气保护开关X4</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156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4486275</wp:posOffset>
                  </wp:positionV>
                  <wp:extent cx="68580" cy="52705"/>
                  <wp:effectExtent l="0" t="0" r="0" b="0"/>
                  <wp:wrapNone/>
                  <wp:docPr id="83" name="textbox13_SpCnt_27"/>
                  <wp:cNvGraphicFramePr/>
                  <a:graphic xmlns:a="http://schemas.openxmlformats.org/drawingml/2006/main">
                    <a:graphicData uri="http://schemas.openxmlformats.org/drawingml/2006/picture">
                      <pic:pic xmlns:pic="http://schemas.openxmlformats.org/drawingml/2006/picture">
                        <pic:nvPicPr>
                          <pic:cNvPr id="83" name="textbox13_SpCnt_27"/>
                          <pic:cNvPicPr/>
                        </pic:nvPicPr>
                        <pic:blipFill>
                          <a:blip r:embed="rId26"/>
                          <a:stretch>
                            <a:fillRect/>
                          </a:stretch>
                        </pic:blipFill>
                        <pic:spPr>
                          <a:xfrm>
                            <a:off x="0" y="0"/>
                            <a:ext cx="68580" cy="5270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0DA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22184">
            <w:pPr>
              <w:jc w:val="left"/>
              <w:rPr>
                <w:rFonts w:hint="eastAsia" w:ascii="宋体" w:hAnsi="宋体" w:eastAsia="宋体" w:cs="宋体"/>
                <w:i w:val="0"/>
                <w:iCs w:val="0"/>
                <w:color w:val="000000"/>
                <w:sz w:val="22"/>
                <w:szCs w:val="22"/>
                <w:u w:val="none"/>
              </w:rPr>
            </w:pPr>
          </w:p>
        </w:tc>
      </w:tr>
      <w:tr w14:paraId="005F9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F09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33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A1D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防雷排插</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869F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1.氧化锌压敏电阻防雷设计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2.高温熔断保护器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3.防雷指示灯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4.750℃阻燃PP材料</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67A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2A0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58340">
            <w:pPr>
              <w:jc w:val="left"/>
              <w:rPr>
                <w:rFonts w:hint="eastAsia" w:ascii="宋体" w:hAnsi="宋体" w:eastAsia="宋体" w:cs="宋体"/>
                <w:i w:val="0"/>
                <w:iCs w:val="0"/>
                <w:color w:val="000000"/>
                <w:sz w:val="22"/>
                <w:szCs w:val="22"/>
                <w:u w:val="none"/>
              </w:rPr>
            </w:pPr>
          </w:p>
        </w:tc>
      </w:tr>
      <w:tr w14:paraId="62A822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B92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34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26E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千兆光纤跳线</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019C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1.名称:光纤线缆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2.规格:千兆单模，LC接口，5米</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87C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条</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265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12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ABEFD">
            <w:pPr>
              <w:jc w:val="left"/>
              <w:rPr>
                <w:rFonts w:hint="eastAsia" w:ascii="宋体" w:hAnsi="宋体" w:eastAsia="宋体" w:cs="宋体"/>
                <w:i w:val="0"/>
                <w:iCs w:val="0"/>
                <w:color w:val="000000"/>
                <w:sz w:val="22"/>
                <w:szCs w:val="22"/>
                <w:u w:val="none"/>
              </w:rPr>
            </w:pPr>
          </w:p>
        </w:tc>
      </w:tr>
      <w:tr w14:paraId="14DA0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925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35 </w:t>
            </w:r>
          </w:p>
        </w:tc>
        <w:tc>
          <w:tcPr>
            <w:tcW w:w="58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08A46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1.5.前端线路敷设工程</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D3BB6">
            <w:pPr>
              <w:jc w:val="left"/>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D6902">
            <w:pPr>
              <w:jc w:val="left"/>
              <w:rPr>
                <w:rFonts w:hint="eastAsia" w:ascii="宋体" w:hAnsi="宋体" w:eastAsia="宋体" w:cs="宋体"/>
                <w:i w:val="0"/>
                <w:iCs w:val="0"/>
                <w:color w:val="000000"/>
                <w:sz w:val="22"/>
                <w:szCs w:val="22"/>
                <w:u w:val="none"/>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1608E">
            <w:pPr>
              <w:jc w:val="left"/>
              <w:rPr>
                <w:rFonts w:hint="eastAsia" w:ascii="宋体" w:hAnsi="宋体" w:eastAsia="宋体" w:cs="宋体"/>
                <w:i w:val="0"/>
                <w:iCs w:val="0"/>
                <w:color w:val="000000"/>
                <w:sz w:val="22"/>
                <w:szCs w:val="22"/>
                <w:u w:val="none"/>
              </w:rPr>
            </w:pPr>
          </w:p>
        </w:tc>
      </w:tr>
      <w:tr w14:paraId="50AF5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AD9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36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6CD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路口取电主电源线</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FE0E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1.名称:管内穿线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2.型号:RVV3*10㎡</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A44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5EE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CAF45">
            <w:pPr>
              <w:jc w:val="left"/>
              <w:rPr>
                <w:rFonts w:hint="eastAsia" w:ascii="宋体" w:hAnsi="宋体" w:eastAsia="宋体" w:cs="宋体"/>
                <w:i w:val="0"/>
                <w:iCs w:val="0"/>
                <w:color w:val="000000"/>
                <w:sz w:val="22"/>
                <w:szCs w:val="22"/>
                <w:u w:val="none"/>
              </w:rPr>
            </w:pPr>
          </w:p>
        </w:tc>
      </w:tr>
      <w:tr w14:paraId="1414C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89B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37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885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立杆取电电源线</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A7C3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1.名称:管内穿线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2.型号:RVV3*2.5㎡</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3E2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894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239.8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B3741">
            <w:pPr>
              <w:jc w:val="left"/>
              <w:rPr>
                <w:rFonts w:hint="eastAsia" w:ascii="宋体" w:hAnsi="宋体" w:eastAsia="宋体" w:cs="宋体"/>
                <w:i w:val="0"/>
                <w:iCs w:val="0"/>
                <w:color w:val="000000"/>
                <w:sz w:val="22"/>
                <w:szCs w:val="22"/>
                <w:u w:val="none"/>
              </w:rPr>
            </w:pPr>
          </w:p>
        </w:tc>
      </w:tr>
      <w:tr w14:paraId="40542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458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38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AF1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设备电源线</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E86D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1.名称:管内穿线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2.型号:RVV3*1.5㎡</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318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813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86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46629">
            <w:pPr>
              <w:jc w:val="left"/>
              <w:rPr>
                <w:rFonts w:hint="eastAsia" w:ascii="宋体" w:hAnsi="宋体" w:eastAsia="宋体" w:cs="宋体"/>
                <w:i w:val="0"/>
                <w:iCs w:val="0"/>
                <w:color w:val="000000"/>
                <w:sz w:val="22"/>
                <w:szCs w:val="22"/>
                <w:u w:val="none"/>
              </w:rPr>
            </w:pPr>
          </w:p>
        </w:tc>
      </w:tr>
      <w:tr w14:paraId="24708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EFE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39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8DD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设备控制线</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4A89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1.名称:管内穿线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2.型号:RVSP2*1.0㎡</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AB0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5B0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35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F9485">
            <w:pPr>
              <w:jc w:val="left"/>
              <w:rPr>
                <w:rFonts w:hint="eastAsia" w:ascii="宋体" w:hAnsi="宋体" w:eastAsia="宋体" w:cs="宋体"/>
                <w:i w:val="0"/>
                <w:iCs w:val="0"/>
                <w:color w:val="000000"/>
                <w:sz w:val="22"/>
                <w:szCs w:val="22"/>
                <w:u w:val="none"/>
              </w:rPr>
            </w:pPr>
          </w:p>
        </w:tc>
      </w:tr>
      <w:tr w14:paraId="18407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7F7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40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D6F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6类4对非屏蔽双绞线</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905B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1.名称:管内穿线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2.型号:六类非屏蔽</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52A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889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109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9DA4F">
            <w:pPr>
              <w:jc w:val="left"/>
              <w:rPr>
                <w:rFonts w:hint="eastAsia" w:ascii="宋体" w:hAnsi="宋体" w:eastAsia="宋体" w:cs="宋体"/>
                <w:i w:val="0"/>
                <w:iCs w:val="0"/>
                <w:color w:val="000000"/>
                <w:sz w:val="22"/>
                <w:szCs w:val="22"/>
                <w:u w:val="none"/>
              </w:rPr>
            </w:pPr>
          </w:p>
        </w:tc>
      </w:tr>
      <w:tr w14:paraId="4F709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763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41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936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地线</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8DB5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1.名称:管内穿线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2.型号:BVR-16㎡</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96F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CC9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30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27DCF">
            <w:pPr>
              <w:jc w:val="left"/>
              <w:rPr>
                <w:rFonts w:hint="eastAsia" w:ascii="宋体" w:hAnsi="宋体" w:eastAsia="宋体" w:cs="宋体"/>
                <w:i w:val="0"/>
                <w:iCs w:val="0"/>
                <w:color w:val="000000"/>
                <w:sz w:val="22"/>
                <w:szCs w:val="22"/>
                <w:u w:val="none"/>
              </w:rPr>
            </w:pPr>
          </w:p>
        </w:tc>
      </w:tr>
      <w:tr w14:paraId="11C8C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BD6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42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BDD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路口内联网光纤</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386D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1.名称:管内穿线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2.型号:4芯室外铠装</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BA5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539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239.8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BB9FC">
            <w:pPr>
              <w:jc w:val="left"/>
              <w:rPr>
                <w:rFonts w:hint="eastAsia" w:ascii="宋体" w:hAnsi="宋体" w:eastAsia="宋体" w:cs="宋体"/>
                <w:i w:val="0"/>
                <w:iCs w:val="0"/>
                <w:color w:val="000000"/>
                <w:sz w:val="22"/>
                <w:szCs w:val="22"/>
                <w:u w:val="none"/>
              </w:rPr>
            </w:pPr>
          </w:p>
        </w:tc>
      </w:tr>
      <w:tr w14:paraId="07947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3FD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43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086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32PE管</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D079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护套 PE子管   32子管</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B28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1CE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480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283DB">
            <w:pPr>
              <w:jc w:val="left"/>
              <w:rPr>
                <w:rFonts w:hint="eastAsia" w:ascii="宋体" w:hAnsi="宋体" w:eastAsia="宋体" w:cs="宋体"/>
                <w:i w:val="0"/>
                <w:iCs w:val="0"/>
                <w:color w:val="000000"/>
                <w:sz w:val="22"/>
                <w:szCs w:val="22"/>
                <w:u w:val="none"/>
              </w:rPr>
            </w:pPr>
          </w:p>
        </w:tc>
      </w:tr>
      <w:tr w14:paraId="1A0A1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7E1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44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7D8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光纤熔接</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C9CC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光纤热熔接</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724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芯</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A3B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24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2CB0F">
            <w:pPr>
              <w:jc w:val="left"/>
              <w:rPr>
                <w:rFonts w:hint="eastAsia" w:ascii="宋体" w:hAnsi="宋体" w:eastAsia="宋体" w:cs="宋体"/>
                <w:i w:val="0"/>
                <w:iCs w:val="0"/>
                <w:color w:val="000000"/>
                <w:sz w:val="22"/>
                <w:szCs w:val="22"/>
                <w:u w:val="none"/>
              </w:rPr>
            </w:pPr>
          </w:p>
        </w:tc>
      </w:tr>
      <w:tr w14:paraId="6389D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00C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45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165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熔纤盒</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DB5F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8口光纤熔纤盒</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EF4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55B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25D9C">
            <w:pPr>
              <w:jc w:val="left"/>
              <w:rPr>
                <w:rFonts w:hint="eastAsia" w:ascii="宋体" w:hAnsi="宋体" w:eastAsia="宋体" w:cs="宋体"/>
                <w:i w:val="0"/>
                <w:iCs w:val="0"/>
                <w:color w:val="000000"/>
                <w:sz w:val="22"/>
                <w:szCs w:val="22"/>
                <w:u w:val="none"/>
              </w:rPr>
            </w:pPr>
          </w:p>
        </w:tc>
      </w:tr>
      <w:tr w14:paraId="6488D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228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46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BB7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布管布线</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852B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综合布线、接线调试</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A0E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F38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1229.4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7D8CE">
            <w:pPr>
              <w:jc w:val="left"/>
              <w:rPr>
                <w:rFonts w:hint="eastAsia" w:ascii="宋体" w:hAnsi="宋体" w:eastAsia="宋体" w:cs="宋体"/>
                <w:i w:val="0"/>
                <w:iCs w:val="0"/>
                <w:color w:val="000000"/>
                <w:sz w:val="22"/>
                <w:szCs w:val="22"/>
                <w:u w:val="none"/>
              </w:rPr>
            </w:pPr>
          </w:p>
        </w:tc>
      </w:tr>
      <w:tr w14:paraId="5AD85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60D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47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FD2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辅材</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E10D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五金配件、水晶头、标签、轧带、胶布、波纹管、缠绕管等</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5C6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323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EE352">
            <w:pPr>
              <w:jc w:val="left"/>
              <w:rPr>
                <w:rFonts w:hint="eastAsia" w:ascii="宋体" w:hAnsi="宋体" w:eastAsia="宋体" w:cs="宋体"/>
                <w:i w:val="0"/>
                <w:iCs w:val="0"/>
                <w:color w:val="000000"/>
                <w:sz w:val="22"/>
                <w:szCs w:val="22"/>
                <w:u w:val="none"/>
              </w:rPr>
            </w:pPr>
          </w:p>
        </w:tc>
      </w:tr>
      <w:tr w14:paraId="15EE9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633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48 </w:t>
            </w:r>
          </w:p>
        </w:tc>
        <w:tc>
          <w:tcPr>
            <w:tcW w:w="58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E8F72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1.6前端基建新增立杆</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9B989">
            <w:pPr>
              <w:jc w:val="left"/>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E758F">
            <w:pPr>
              <w:jc w:val="left"/>
              <w:rPr>
                <w:rFonts w:hint="eastAsia" w:ascii="宋体" w:hAnsi="宋体" w:eastAsia="宋体" w:cs="宋体"/>
                <w:i w:val="0"/>
                <w:iCs w:val="0"/>
                <w:color w:val="000000"/>
                <w:sz w:val="22"/>
                <w:szCs w:val="22"/>
                <w:u w:val="none"/>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5075E">
            <w:pPr>
              <w:jc w:val="left"/>
              <w:rPr>
                <w:rFonts w:hint="eastAsia" w:ascii="宋体" w:hAnsi="宋体" w:eastAsia="宋体" w:cs="宋体"/>
                <w:i w:val="0"/>
                <w:iCs w:val="0"/>
                <w:color w:val="000000"/>
                <w:sz w:val="22"/>
                <w:szCs w:val="22"/>
                <w:u w:val="none"/>
              </w:rPr>
            </w:pPr>
          </w:p>
        </w:tc>
      </w:tr>
      <w:tr w14:paraId="567CD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83E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49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FA1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新建电子警察立杆(L6.5*12)</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0F56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规格：立杆八角杆口径为：8mm*280*340mm*6500mm，横杆口径为：6mm*110mm*280mm*12000mm，连接法兰为：420mm*420mm*16mm，底座法兰为：600mm*16mm，热镀锌喷漆。</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75B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FEF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88950">
            <w:pPr>
              <w:jc w:val="left"/>
              <w:rPr>
                <w:rFonts w:hint="eastAsia" w:ascii="宋体" w:hAnsi="宋体" w:eastAsia="宋体" w:cs="宋体"/>
                <w:i w:val="0"/>
                <w:iCs w:val="0"/>
                <w:color w:val="000000"/>
                <w:sz w:val="22"/>
                <w:szCs w:val="22"/>
                <w:u w:val="none"/>
              </w:rPr>
            </w:pPr>
          </w:p>
        </w:tc>
      </w:tr>
      <w:tr w14:paraId="5F6E3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836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50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B3C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电子警察立杆(L6.5*12)基础制作</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650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1.现浇钢筋混凝土池独立设备基础，C25预拌混凝土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2.钢筋制作、安装现浇混凝土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3.接地极(板)制作、安裝圆钢接地极普通土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4.接地极镀锌圆钢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5.接地母线敷设户外接地母线敷设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6.地脚螺拴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7.人工控沟糟、基坑一、二类土深度在2m内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 回填土夯实机夯实槽、坑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9.人工装卸汽车运土方运距1km   实际运距(km)：15</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89F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5A3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A539C">
            <w:pPr>
              <w:jc w:val="left"/>
              <w:rPr>
                <w:rFonts w:hint="eastAsia" w:ascii="宋体" w:hAnsi="宋体" w:eastAsia="宋体" w:cs="宋体"/>
                <w:i w:val="0"/>
                <w:iCs w:val="0"/>
                <w:color w:val="000000"/>
                <w:sz w:val="22"/>
                <w:szCs w:val="22"/>
                <w:u w:val="none"/>
              </w:rPr>
            </w:pPr>
          </w:p>
        </w:tc>
      </w:tr>
      <w:tr w14:paraId="54F4F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40E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51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E64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新建电子警察立杆(L6.5*8)</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3D36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规格：立杆八角杆口径为：5mm*220*280mm*6500mm，横杆口径为：5mm*100mm*220mm*8000mm，连接法兰为：350mm*350mm*16mm，底座法兰为：500mm*16mm，热镀锌喷漆。</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5D8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FDB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624E8">
            <w:pPr>
              <w:jc w:val="left"/>
              <w:rPr>
                <w:rFonts w:hint="eastAsia" w:ascii="宋体" w:hAnsi="宋体" w:eastAsia="宋体" w:cs="宋体"/>
                <w:i w:val="0"/>
                <w:iCs w:val="0"/>
                <w:color w:val="000000"/>
                <w:sz w:val="22"/>
                <w:szCs w:val="22"/>
                <w:u w:val="none"/>
              </w:rPr>
            </w:pPr>
          </w:p>
        </w:tc>
      </w:tr>
      <w:tr w14:paraId="0D388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FDB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52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81C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电子警察立杆(L6.5*8)基础制作</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91F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1.现浇钢筋混凝土池独立设备基础，C25预拌混凝土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2.钢筋制作、安装现浇混凝土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3.接地极(板)制作、安裝圆钢接地极普通土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4.接地极镀锌圆钢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5.接地母线敷设户外接地母线敷设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6.地脚螺拴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7.人工控沟糟、基坑一、二类土深度在2m内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 回填土夯实机夯实槽、坑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9.人工装卸汽车运土方运距1km   实际运距(km)：15</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699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9ED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05F1A">
            <w:pPr>
              <w:jc w:val="left"/>
              <w:rPr>
                <w:rFonts w:hint="eastAsia" w:ascii="宋体" w:hAnsi="宋体" w:eastAsia="宋体" w:cs="宋体"/>
                <w:i w:val="0"/>
                <w:iCs w:val="0"/>
                <w:color w:val="000000"/>
                <w:sz w:val="22"/>
                <w:szCs w:val="22"/>
                <w:u w:val="none"/>
              </w:rPr>
            </w:pPr>
          </w:p>
        </w:tc>
      </w:tr>
      <w:tr w14:paraId="21B8D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04A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53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374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违法抓拍指示牌</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67D3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标志板安装单块面积2㎡内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1.3mm厚铝板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2.工程级反光膜</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39C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0C9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A5F81">
            <w:pPr>
              <w:jc w:val="left"/>
              <w:rPr>
                <w:rFonts w:hint="eastAsia" w:ascii="宋体" w:hAnsi="宋体" w:eastAsia="宋体" w:cs="宋体"/>
                <w:i w:val="0"/>
                <w:iCs w:val="0"/>
                <w:color w:val="000000"/>
                <w:sz w:val="22"/>
                <w:szCs w:val="22"/>
                <w:u w:val="none"/>
              </w:rPr>
            </w:pPr>
          </w:p>
        </w:tc>
      </w:tr>
      <w:tr w14:paraId="009AFE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908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54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A31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导流牌</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0914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1.名称:导流牌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2.规格、种类:铝 厚度：2.00MM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3.反光膜：菱形EGP超工程级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4.尺寸：4000x2000</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13E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C72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194A3">
            <w:pPr>
              <w:jc w:val="left"/>
              <w:rPr>
                <w:rFonts w:hint="eastAsia" w:ascii="宋体" w:hAnsi="宋体" w:eastAsia="宋体" w:cs="宋体"/>
                <w:i w:val="0"/>
                <w:iCs w:val="0"/>
                <w:color w:val="000000"/>
                <w:sz w:val="22"/>
                <w:szCs w:val="22"/>
                <w:u w:val="none"/>
              </w:rPr>
            </w:pPr>
          </w:p>
        </w:tc>
      </w:tr>
      <w:tr w14:paraId="7D4E0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C75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55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9AB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导流牌标志杆</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18FB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1.名称:导流牌标志杆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2.材质:钢管立柱Φ325*8.0*7700,横杆Φ180*6*4800热浸镀锌处理(600g/m2)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3.预埋铁件:地脚螺栓8-M36x1500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4.防护:热镀锌处理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5.其他:人工装卸汽车运土方 运距1km 实际运距(km):10</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092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F52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483FF">
            <w:pPr>
              <w:jc w:val="left"/>
              <w:rPr>
                <w:rFonts w:hint="eastAsia" w:ascii="宋体" w:hAnsi="宋体" w:eastAsia="宋体" w:cs="宋体"/>
                <w:i w:val="0"/>
                <w:iCs w:val="0"/>
                <w:color w:val="000000"/>
                <w:sz w:val="22"/>
                <w:szCs w:val="22"/>
                <w:u w:val="none"/>
              </w:rPr>
            </w:pPr>
          </w:p>
        </w:tc>
      </w:tr>
      <w:tr w14:paraId="1D245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22E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56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4BA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导流牌立杆基础</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3689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1.名称:立杆基础（1500mm*1500mm*1600mm）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 内容:1.现浇钢筋混凝土池独立设备基础(体积) 5m3以内 C25混凝土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2.钢筋制作、安装现浇混凝土Φ10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3.接地极(板)制作、安装-圆钢接地极普通土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4.接地极镀锌圆钢 D20*1500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5.接地母线數设户外接地母线数设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6.地脚螺栓 M27-1800*8mm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7.法兰盘 D500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8.人工挖沟權、基坑一、二类土深度在2m内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 回壊土夯实机夯实權、坑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10.人工装卸汽车运土方运距1km 实际运距(km):15</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D17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E77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AC84B">
            <w:pPr>
              <w:jc w:val="left"/>
              <w:rPr>
                <w:rFonts w:hint="eastAsia" w:ascii="宋体" w:hAnsi="宋体" w:eastAsia="宋体" w:cs="宋体"/>
                <w:i w:val="0"/>
                <w:iCs w:val="0"/>
                <w:color w:val="000000"/>
                <w:sz w:val="22"/>
                <w:szCs w:val="22"/>
                <w:u w:val="none"/>
              </w:rPr>
            </w:pPr>
          </w:p>
        </w:tc>
      </w:tr>
      <w:tr w14:paraId="2E43B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629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57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713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清除标线-车道分界线、停止线、边缘</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702F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1.清除路面标线</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5CF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269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195.50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F95F1">
            <w:pPr>
              <w:jc w:val="left"/>
              <w:rPr>
                <w:rFonts w:hint="eastAsia" w:ascii="宋体" w:hAnsi="宋体" w:eastAsia="宋体" w:cs="宋体"/>
                <w:i w:val="0"/>
                <w:iCs w:val="0"/>
                <w:color w:val="000000"/>
                <w:sz w:val="22"/>
                <w:szCs w:val="22"/>
                <w:u w:val="none"/>
              </w:rPr>
            </w:pPr>
          </w:p>
        </w:tc>
      </w:tr>
      <w:tr w14:paraId="11925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FF6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58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3CA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清除人行横道线</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4C39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1.清除路面标线</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2A1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FB6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156.20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3F733">
            <w:pPr>
              <w:jc w:val="left"/>
              <w:rPr>
                <w:rFonts w:hint="eastAsia" w:ascii="宋体" w:hAnsi="宋体" w:eastAsia="宋体" w:cs="宋体"/>
                <w:i w:val="0"/>
                <w:iCs w:val="0"/>
                <w:color w:val="000000"/>
                <w:sz w:val="22"/>
                <w:szCs w:val="22"/>
                <w:u w:val="none"/>
              </w:rPr>
            </w:pPr>
          </w:p>
        </w:tc>
      </w:tr>
      <w:tr w14:paraId="16C93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92C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59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121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清除导向箭头-直行6m</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12CE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1.清除路面标线</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E49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363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24.20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CD5D3">
            <w:pPr>
              <w:jc w:val="left"/>
              <w:rPr>
                <w:rFonts w:hint="eastAsia" w:ascii="宋体" w:hAnsi="宋体" w:eastAsia="宋体" w:cs="宋体"/>
                <w:i w:val="0"/>
                <w:iCs w:val="0"/>
                <w:color w:val="000000"/>
                <w:sz w:val="22"/>
                <w:szCs w:val="22"/>
                <w:u w:val="none"/>
              </w:rPr>
            </w:pPr>
          </w:p>
        </w:tc>
      </w:tr>
      <w:tr w14:paraId="6F2D6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95B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60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275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清除导向箭头-左转/右转6m</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1166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1.清除路面标线</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6D7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00A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18.50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97C55">
            <w:pPr>
              <w:jc w:val="left"/>
              <w:rPr>
                <w:rFonts w:hint="eastAsia" w:ascii="宋体" w:hAnsi="宋体" w:eastAsia="宋体" w:cs="宋体"/>
                <w:i w:val="0"/>
                <w:iCs w:val="0"/>
                <w:color w:val="000000"/>
                <w:sz w:val="22"/>
                <w:szCs w:val="22"/>
                <w:u w:val="none"/>
              </w:rPr>
            </w:pPr>
          </w:p>
        </w:tc>
      </w:tr>
      <w:tr w14:paraId="13FE1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D51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61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27B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清除导向箭头-直行左转/直行右转6m</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263F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1.清除路面标线</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67B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A35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16.80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A1AB6">
            <w:pPr>
              <w:jc w:val="left"/>
              <w:rPr>
                <w:rFonts w:hint="eastAsia" w:ascii="宋体" w:hAnsi="宋体" w:eastAsia="宋体" w:cs="宋体"/>
                <w:i w:val="0"/>
                <w:iCs w:val="0"/>
                <w:color w:val="000000"/>
                <w:sz w:val="22"/>
                <w:szCs w:val="22"/>
                <w:u w:val="none"/>
              </w:rPr>
            </w:pPr>
          </w:p>
        </w:tc>
      </w:tr>
      <w:tr w14:paraId="206F9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F36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62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4C5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清除导向箭头-调头6m</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7AF8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1.清除路面标线</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70A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44D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15.90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F9D59">
            <w:pPr>
              <w:jc w:val="left"/>
              <w:rPr>
                <w:rFonts w:hint="eastAsia" w:ascii="宋体" w:hAnsi="宋体" w:eastAsia="宋体" w:cs="宋体"/>
                <w:i w:val="0"/>
                <w:iCs w:val="0"/>
                <w:color w:val="000000"/>
                <w:sz w:val="22"/>
                <w:szCs w:val="22"/>
                <w:u w:val="none"/>
              </w:rPr>
            </w:pPr>
          </w:p>
        </w:tc>
      </w:tr>
      <w:tr w14:paraId="0ECA9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34E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63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872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新建标线-车道分界线、停止线、边缘线等</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EE41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1.材料品种:-车道分界线、停止线、边缘线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2.工艺:反光热熔标线，采用玻璃微珠底漆，普通型热熔涂料</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6C4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C8A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195.50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E10C4">
            <w:pPr>
              <w:jc w:val="left"/>
              <w:rPr>
                <w:rFonts w:hint="eastAsia" w:ascii="宋体" w:hAnsi="宋体" w:eastAsia="宋体" w:cs="宋体"/>
                <w:i w:val="0"/>
                <w:iCs w:val="0"/>
                <w:color w:val="000000"/>
                <w:sz w:val="22"/>
                <w:szCs w:val="22"/>
                <w:u w:val="none"/>
              </w:rPr>
            </w:pPr>
          </w:p>
        </w:tc>
      </w:tr>
      <w:tr w14:paraId="551B6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631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64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C64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新建人行横道线</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F2DC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1.材料品种:-人行横道线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2.工艺:反光热熔标线，采用玻璃微珠底漆，普通型热熔涂料</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792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929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156.20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B458B">
            <w:pPr>
              <w:jc w:val="left"/>
              <w:rPr>
                <w:rFonts w:hint="eastAsia" w:ascii="宋体" w:hAnsi="宋体" w:eastAsia="宋体" w:cs="宋体"/>
                <w:i w:val="0"/>
                <w:iCs w:val="0"/>
                <w:color w:val="000000"/>
                <w:sz w:val="22"/>
                <w:szCs w:val="22"/>
                <w:u w:val="none"/>
              </w:rPr>
            </w:pPr>
          </w:p>
        </w:tc>
      </w:tr>
      <w:tr w14:paraId="535B6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038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65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04A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新建导向箭头-直行左转/直行右转6m</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21B2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1.材料品种:-导向箭头-直行左转/直行右转6m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2.工艺:反光热熔标线，采用玻璃微珠底漆，普通型热熔涂料</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80A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4BC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25.10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5A5E7">
            <w:pPr>
              <w:jc w:val="left"/>
              <w:rPr>
                <w:rFonts w:hint="eastAsia" w:ascii="宋体" w:hAnsi="宋体" w:eastAsia="宋体" w:cs="宋体"/>
                <w:i w:val="0"/>
                <w:iCs w:val="0"/>
                <w:color w:val="000000"/>
                <w:sz w:val="22"/>
                <w:szCs w:val="22"/>
                <w:u w:val="none"/>
              </w:rPr>
            </w:pPr>
          </w:p>
        </w:tc>
      </w:tr>
      <w:tr w14:paraId="6F1F9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F73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66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AB9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新建导向箭头-直行6m</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1FBA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1.材料品种:-导向箭头-直行6m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2.工艺:反光热熔标线，采用玻璃微珠底漆，普通型热熔涂料</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962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91E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48.40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522E8">
            <w:pPr>
              <w:jc w:val="left"/>
              <w:rPr>
                <w:rFonts w:hint="eastAsia" w:ascii="宋体" w:hAnsi="宋体" w:eastAsia="宋体" w:cs="宋体"/>
                <w:i w:val="0"/>
                <w:iCs w:val="0"/>
                <w:color w:val="000000"/>
                <w:sz w:val="22"/>
                <w:szCs w:val="22"/>
                <w:u w:val="none"/>
              </w:rPr>
            </w:pPr>
          </w:p>
        </w:tc>
      </w:tr>
      <w:tr w14:paraId="69F80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F11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67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4D2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新建导向箭头-左转/右转6m</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9AA1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1.材料品种:-导向箭头-左转/右转6m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2.工艺:反光热熔标线，采用玻璃微珠底漆，普通型热熔涂料</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CAF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664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18.50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727AC">
            <w:pPr>
              <w:jc w:val="left"/>
              <w:rPr>
                <w:rFonts w:hint="eastAsia" w:ascii="宋体" w:hAnsi="宋体" w:eastAsia="宋体" w:cs="宋体"/>
                <w:i w:val="0"/>
                <w:iCs w:val="0"/>
                <w:color w:val="000000"/>
                <w:sz w:val="22"/>
                <w:szCs w:val="22"/>
                <w:u w:val="none"/>
              </w:rPr>
            </w:pPr>
          </w:p>
        </w:tc>
      </w:tr>
      <w:tr w14:paraId="79334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5F7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68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334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新建导向箭头-左转调头6m</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42F7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1.材料品种:-导向箭头-左转调头6m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2.工艺:反光热熔标线，采用玻璃微珠底漆，普通型热熔涂料</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79A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671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14.20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8DC4E">
            <w:pPr>
              <w:jc w:val="left"/>
              <w:rPr>
                <w:rFonts w:hint="eastAsia" w:ascii="宋体" w:hAnsi="宋体" w:eastAsia="宋体" w:cs="宋体"/>
                <w:i w:val="0"/>
                <w:iCs w:val="0"/>
                <w:color w:val="000000"/>
                <w:sz w:val="22"/>
                <w:szCs w:val="22"/>
                <w:u w:val="none"/>
              </w:rPr>
            </w:pPr>
          </w:p>
        </w:tc>
      </w:tr>
      <w:tr w14:paraId="3D7B5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928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B90A38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三、移动违停球抓拍系统</w:t>
            </w:r>
          </w:p>
        </w:tc>
      </w:tr>
      <w:tr w14:paraId="538F6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3B8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BE8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违法取证抓拍球机</w:t>
            </w:r>
          </w:p>
        </w:tc>
        <w:tc>
          <w:tcPr>
            <w:tcW w:w="4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F2FF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详见设备参数要求</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770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E9A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18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82D05">
            <w:pPr>
              <w:jc w:val="center"/>
              <w:rPr>
                <w:rFonts w:hint="eastAsia" w:ascii="宋体" w:hAnsi="宋体" w:eastAsia="宋体" w:cs="宋体"/>
                <w:i w:val="0"/>
                <w:iCs w:val="0"/>
                <w:color w:val="000000"/>
                <w:sz w:val="22"/>
                <w:szCs w:val="22"/>
                <w:u w:val="none"/>
              </w:rPr>
            </w:pPr>
          </w:p>
        </w:tc>
      </w:tr>
      <w:tr w14:paraId="34A29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3BF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85D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多晶硅太阳能板（含支架）</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C2CE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功率:单块≥100W（每个点位需2块）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工作适用温度:-40℃~80℃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防护等级:≥IP65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太阳能输入电压:峰值输出电压≥18.4V</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抗风力系数系统保护:≥60m/S(200KG/sq.m)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尺寸:面积≤5200cm²,高度≤30cm</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B09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A01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36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EAC77">
            <w:pPr>
              <w:jc w:val="center"/>
              <w:rPr>
                <w:rFonts w:hint="eastAsia" w:ascii="宋体" w:hAnsi="宋体" w:eastAsia="宋体" w:cs="宋体"/>
                <w:i w:val="0"/>
                <w:iCs w:val="0"/>
                <w:color w:val="000000"/>
                <w:sz w:val="22"/>
                <w:szCs w:val="22"/>
                <w:u w:val="none"/>
              </w:rPr>
            </w:pPr>
          </w:p>
        </w:tc>
      </w:tr>
      <w:tr w14:paraId="2D1C0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24D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080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锂电池</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2EA0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容量：总容量≥112Ah，单块容量≥56Ah（每个点位需2块）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电流：充电电流：≥5A,放电电流≥5A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充电截止电压：≥10V</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充电输入电压：≥14.6V</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恒压输出：≥15V</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排放温度：-40℃~60℃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充电温度：0℃~50℃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通讯接口：RS485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防护等级：≥IP65</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09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DF1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36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949B4">
            <w:pPr>
              <w:jc w:val="center"/>
              <w:rPr>
                <w:rFonts w:hint="eastAsia" w:ascii="宋体" w:hAnsi="宋体" w:eastAsia="宋体" w:cs="宋体"/>
                <w:i w:val="0"/>
                <w:iCs w:val="0"/>
                <w:color w:val="000000"/>
                <w:sz w:val="22"/>
                <w:szCs w:val="22"/>
                <w:u w:val="none"/>
              </w:rPr>
            </w:pPr>
          </w:p>
        </w:tc>
      </w:tr>
      <w:tr w14:paraId="596BD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E65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259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4G模块</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AFDB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采用高性能全频段蜂窝无线模块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高性能专用路由芯片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采用铸造铝外壳设计，防水等级达到IP65，专用于户外环境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宽电压输入支持DC9-50V，宽温设计支持-40+70 摄氏度，低温环境自动加热</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采用看门狗设计保证24小时在线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丰富的频段,支持全球多个国家的蜂窝</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网络系统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支持POE 供电，接口防水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支持抱箍安装</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F0C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C24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18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0A6A8">
            <w:pPr>
              <w:jc w:val="center"/>
              <w:rPr>
                <w:rFonts w:hint="eastAsia" w:ascii="宋体" w:hAnsi="宋体" w:eastAsia="宋体" w:cs="宋体"/>
                <w:i w:val="0"/>
                <w:iCs w:val="0"/>
                <w:color w:val="000000"/>
                <w:sz w:val="22"/>
                <w:szCs w:val="22"/>
                <w:u w:val="none"/>
              </w:rPr>
            </w:pPr>
          </w:p>
        </w:tc>
      </w:tr>
      <w:tr w14:paraId="6DE0A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B9A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87C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4G数据卡</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CED7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运营商物联网卡，每个月20G流量，含3年资费</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189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59C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18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D05A5">
            <w:pPr>
              <w:jc w:val="center"/>
              <w:rPr>
                <w:rFonts w:hint="eastAsia" w:ascii="宋体" w:hAnsi="宋体" w:eastAsia="宋体" w:cs="宋体"/>
                <w:i w:val="0"/>
                <w:iCs w:val="0"/>
                <w:color w:val="000000"/>
                <w:sz w:val="22"/>
                <w:szCs w:val="22"/>
                <w:u w:val="none"/>
              </w:rPr>
            </w:pPr>
          </w:p>
        </w:tc>
      </w:tr>
      <w:tr w14:paraId="46AB9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EBE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982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电警管理平台软件授权</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2F72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1、实现前端违法取证抓拍设备的接入管理；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2、实现前端违法取证抓拍数据自动写入；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3、支持违法取证抓拍数据的查询；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4、实现违法取证抓拍数据自动推送</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523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D88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18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5372D">
            <w:pPr>
              <w:jc w:val="center"/>
              <w:rPr>
                <w:rFonts w:hint="eastAsia" w:ascii="宋体" w:hAnsi="宋体" w:eastAsia="宋体" w:cs="宋体"/>
                <w:i w:val="0"/>
                <w:iCs w:val="0"/>
                <w:color w:val="000000"/>
                <w:sz w:val="22"/>
                <w:szCs w:val="22"/>
                <w:u w:val="none"/>
              </w:rPr>
            </w:pPr>
          </w:p>
        </w:tc>
      </w:tr>
      <w:tr w14:paraId="3CF06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A7B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A93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运维监控系统</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74C2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实现前端光伏系统远程运维、状态检测远程重启;支持电池剩余容量、发电功率、用电功率等监控;支持远程配置电源定时供电预案。</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1E3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685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18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668B8">
            <w:pPr>
              <w:jc w:val="center"/>
              <w:rPr>
                <w:rFonts w:hint="eastAsia" w:ascii="宋体" w:hAnsi="宋体" w:eastAsia="宋体" w:cs="宋体"/>
                <w:i w:val="0"/>
                <w:iCs w:val="0"/>
                <w:color w:val="000000"/>
                <w:sz w:val="22"/>
                <w:szCs w:val="22"/>
                <w:u w:val="none"/>
              </w:rPr>
            </w:pPr>
          </w:p>
        </w:tc>
      </w:tr>
      <w:tr w14:paraId="36A3B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9C1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1C1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交通违法抓拍标志牌</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A16A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交通专用800*800反光指示牌，印刷“交通违法抓拍”字样</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096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B44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18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9CBF0">
            <w:pPr>
              <w:jc w:val="center"/>
              <w:rPr>
                <w:rFonts w:hint="eastAsia" w:ascii="宋体" w:hAnsi="宋体" w:eastAsia="宋体" w:cs="宋体"/>
                <w:i w:val="0"/>
                <w:iCs w:val="0"/>
                <w:color w:val="000000"/>
                <w:sz w:val="22"/>
                <w:szCs w:val="22"/>
                <w:u w:val="none"/>
              </w:rPr>
            </w:pPr>
          </w:p>
        </w:tc>
      </w:tr>
      <w:tr w14:paraId="61DE6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462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5A8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安装调试费用</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F24C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含初次安装、高车、与后台系统联调等费用</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0B2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973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18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AD240">
            <w:pPr>
              <w:jc w:val="center"/>
              <w:rPr>
                <w:rFonts w:hint="eastAsia" w:ascii="宋体" w:hAnsi="宋体" w:eastAsia="宋体" w:cs="宋体"/>
                <w:i w:val="0"/>
                <w:iCs w:val="0"/>
                <w:color w:val="000000"/>
                <w:sz w:val="22"/>
                <w:szCs w:val="22"/>
                <w:u w:val="none"/>
              </w:rPr>
            </w:pPr>
          </w:p>
        </w:tc>
      </w:tr>
      <w:tr w14:paraId="21322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C5A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C8F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运维服务费</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4038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含3年前端系统和后端系统的运维服务</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B05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1DD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18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14743">
            <w:pPr>
              <w:jc w:val="left"/>
              <w:rPr>
                <w:rFonts w:hint="eastAsia" w:ascii="宋体" w:hAnsi="宋体" w:eastAsia="宋体" w:cs="宋体"/>
                <w:i w:val="0"/>
                <w:iCs w:val="0"/>
                <w:color w:val="000000"/>
                <w:sz w:val="22"/>
                <w:szCs w:val="22"/>
                <w:u w:val="none"/>
              </w:rPr>
            </w:pPr>
          </w:p>
        </w:tc>
      </w:tr>
      <w:tr w14:paraId="67A10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820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11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6D9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路边禁止停车标线</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24FF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1.材料品种:路边及路沿石黄线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2.工艺:反光热熔标线，采用玻璃微珠底漆，普通型热熔涂料</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4AC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FC0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14400 </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2DC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每个抓拍点两双前后200米计算</w:t>
            </w:r>
          </w:p>
        </w:tc>
      </w:tr>
      <w:tr w14:paraId="2BBD6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985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12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364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禁止停车提示牌</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3D65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1.材料种类、规格:3厘铝板工程级反光膜，高强膜，圆形800*1600</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A74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82A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72 </w:t>
            </w:r>
          </w:p>
        </w:tc>
        <w:tc>
          <w:tcPr>
            <w:tcW w:w="10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319F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每个抓拍点安装4个块计算</w:t>
            </w:r>
          </w:p>
        </w:tc>
      </w:tr>
      <w:tr w14:paraId="1BF98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8DC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13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F16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标志杆</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EE69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1.名称:标志杆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2.材质:热镀锌材质（89*3米*4 0）</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988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392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72 </w:t>
            </w: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A02B7F">
            <w:pPr>
              <w:jc w:val="center"/>
              <w:rPr>
                <w:rFonts w:hint="eastAsia" w:ascii="宋体" w:hAnsi="宋体" w:eastAsia="宋体" w:cs="宋体"/>
                <w:i w:val="0"/>
                <w:iCs w:val="0"/>
                <w:color w:val="000000"/>
                <w:sz w:val="22"/>
                <w:szCs w:val="22"/>
                <w:u w:val="none"/>
              </w:rPr>
            </w:pPr>
          </w:p>
        </w:tc>
      </w:tr>
      <w:tr w14:paraId="12493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0FB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14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0D0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标志杆基础制作</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1777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1.混凝土标志杆基础制作600*600*800</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C58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584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72 </w:t>
            </w: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0C6F92">
            <w:pPr>
              <w:jc w:val="center"/>
              <w:rPr>
                <w:rFonts w:hint="eastAsia" w:ascii="宋体" w:hAnsi="宋体" w:eastAsia="宋体" w:cs="宋体"/>
                <w:i w:val="0"/>
                <w:iCs w:val="0"/>
                <w:color w:val="000000"/>
                <w:sz w:val="22"/>
                <w:szCs w:val="22"/>
                <w:u w:val="none"/>
              </w:rPr>
            </w:pPr>
          </w:p>
        </w:tc>
      </w:tr>
      <w:tr w14:paraId="75DD1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142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15 </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299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标志杆牌安装</w:t>
            </w:r>
          </w:p>
        </w:tc>
        <w:tc>
          <w:tcPr>
            <w:tcW w:w="4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262D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1.志杆牌安装运输安装人工</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A6D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5D7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72 </w:t>
            </w: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F99A55">
            <w:pPr>
              <w:jc w:val="center"/>
              <w:rPr>
                <w:rFonts w:hint="eastAsia" w:ascii="宋体" w:hAnsi="宋体" w:eastAsia="宋体" w:cs="宋体"/>
                <w:i w:val="0"/>
                <w:iCs w:val="0"/>
                <w:color w:val="000000"/>
                <w:sz w:val="22"/>
                <w:szCs w:val="22"/>
                <w:u w:val="none"/>
              </w:rPr>
            </w:pPr>
          </w:p>
        </w:tc>
      </w:tr>
    </w:tbl>
    <w:p w14:paraId="1985C65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1"/>
        <w:rPr>
          <w:rFonts w:hint="eastAsia" w:ascii="宋体" w:hAnsi="宋体" w:eastAsia="宋体" w:cs="宋体"/>
          <w:b/>
          <w:color w:val="000000"/>
          <w:sz w:val="24"/>
          <w:szCs w:val="24"/>
        </w:rPr>
      </w:pPr>
      <w:r>
        <w:rPr>
          <w:rFonts w:hint="eastAsia" w:ascii="宋体" w:hAnsi="宋体" w:eastAsia="宋体" w:cs="宋体"/>
          <w:b/>
          <w:color w:val="000000"/>
          <w:sz w:val="24"/>
          <w:szCs w:val="24"/>
        </w:rPr>
        <w:t>五、</w:t>
      </w:r>
      <w:r>
        <w:rPr>
          <w:rFonts w:hint="eastAsia" w:ascii="宋体" w:hAnsi="宋体" w:eastAsia="宋体" w:cs="宋体"/>
          <w:b/>
          <w:color w:val="000000"/>
          <w:sz w:val="24"/>
          <w:szCs w:val="24"/>
          <w:lang w:val="en-US" w:eastAsia="zh-CN"/>
        </w:rPr>
        <w:t>设备参数要求</w:t>
      </w:r>
    </w:p>
    <w:p w14:paraId="17305D9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1" w:firstLineChars="100"/>
        <w:textAlignment w:val="auto"/>
        <w:outlineLvl w:val="1"/>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（1）电子警察900万一体化抓拍单元</w:t>
      </w:r>
    </w:p>
    <w:p w14:paraId="0FE35993">
      <w:pPr>
        <w:pStyle w:val="13"/>
        <w:numPr>
          <w:ilvl w:val="0"/>
          <w:numId w:val="2"/>
        </w:numPr>
        <w:spacing w:after="0" w:line="360" w:lineRule="auto"/>
        <w:rPr>
          <w:rFonts w:hint="eastAsia" w:ascii="宋体" w:hAnsi="宋体" w:eastAsia="宋体"/>
          <w:szCs w:val="22"/>
        </w:rPr>
      </w:pPr>
      <w:r>
        <w:rPr>
          <w:rFonts w:hint="eastAsia" w:ascii="宋体" w:hAnsi="宋体" w:eastAsia="宋体"/>
          <w:szCs w:val="22"/>
        </w:rPr>
        <w:t>传感器分辨率≥4096×2160，传感器靶面≥1"；</w:t>
      </w:r>
    </w:p>
    <w:p w14:paraId="6D8C3488">
      <w:pPr>
        <w:pStyle w:val="13"/>
        <w:numPr>
          <w:ilvl w:val="0"/>
          <w:numId w:val="2"/>
        </w:numPr>
        <w:spacing w:after="0" w:line="360" w:lineRule="auto"/>
        <w:rPr>
          <w:rFonts w:hint="eastAsia" w:ascii="宋体" w:hAnsi="宋体" w:eastAsia="宋体"/>
          <w:szCs w:val="22"/>
          <w:highlight w:val="none"/>
        </w:rPr>
      </w:pPr>
      <w:r>
        <w:rPr>
          <w:rFonts w:hint="eastAsia" w:ascii="宋体" w:hAnsi="宋体" w:eastAsia="宋体"/>
          <w:szCs w:val="22"/>
          <w:highlight w:val="none"/>
        </w:rPr>
        <w:t>▲镜头支持电动变焦功能，可通过Web界面调节12mm/16mm/20mm/25mm及其他焦距（提供所投产品的第三方检测机构出具的检测报告）；</w:t>
      </w:r>
    </w:p>
    <w:p w14:paraId="35659AFA">
      <w:pPr>
        <w:pStyle w:val="13"/>
        <w:numPr>
          <w:ilvl w:val="0"/>
          <w:numId w:val="2"/>
        </w:numPr>
        <w:spacing w:after="0" w:line="360" w:lineRule="auto"/>
        <w:rPr>
          <w:rFonts w:hint="eastAsia" w:ascii="宋体" w:hAnsi="宋体" w:eastAsia="宋体"/>
          <w:szCs w:val="22"/>
          <w:highlight w:val="none"/>
        </w:rPr>
      </w:pPr>
      <w:r>
        <w:rPr>
          <w:rFonts w:hint="eastAsia" w:ascii="宋体" w:hAnsi="宋体" w:eastAsia="宋体"/>
          <w:szCs w:val="22"/>
          <w:highlight w:val="none"/>
        </w:rPr>
        <w:t>▲镜头支持电动聚焦功能，可通过Web 界面一键聚焦，满足抓拍图像对焦清晰（提供所投产品的第三方检测机构出具的检测报告）；</w:t>
      </w:r>
    </w:p>
    <w:p w14:paraId="6FD9C7CE">
      <w:pPr>
        <w:pStyle w:val="13"/>
        <w:numPr>
          <w:ilvl w:val="0"/>
          <w:numId w:val="2"/>
        </w:numPr>
        <w:spacing w:after="0" w:line="360" w:lineRule="auto"/>
        <w:rPr>
          <w:rFonts w:hint="eastAsia" w:ascii="宋体" w:hAnsi="宋体" w:eastAsia="宋体"/>
          <w:szCs w:val="22"/>
        </w:rPr>
      </w:pPr>
      <w:r>
        <w:rPr>
          <w:rFonts w:hint="eastAsia" w:ascii="宋体" w:hAnsi="宋体" w:eastAsia="宋体"/>
          <w:szCs w:val="22"/>
        </w:rPr>
        <w:t>具备车牌识别功能，可识别不少于7种车牌颜色，支持识别纯电动新能源小车牌、澳门牌、港牌等，车牌捕获率≥99%，识别准确率≥99%；</w:t>
      </w:r>
    </w:p>
    <w:p w14:paraId="6A34AEF6">
      <w:pPr>
        <w:pStyle w:val="13"/>
        <w:numPr>
          <w:ilvl w:val="0"/>
          <w:numId w:val="2"/>
        </w:numPr>
        <w:spacing w:after="0" w:line="360" w:lineRule="auto"/>
        <w:rPr>
          <w:rFonts w:hint="eastAsia" w:ascii="宋体" w:hAnsi="宋体" w:eastAsia="宋体"/>
          <w:szCs w:val="22"/>
        </w:rPr>
      </w:pPr>
      <w:r>
        <w:rPr>
          <w:rFonts w:hint="eastAsia" w:ascii="宋体" w:hAnsi="宋体" w:eastAsia="宋体"/>
          <w:szCs w:val="22"/>
        </w:rPr>
        <w:t>支持AI车牌增强功能，开启后可防止车牌过曝，支持蓝牌、黄牌、白牌、黑牌、绿牌、黄绿双拼牌；</w:t>
      </w:r>
    </w:p>
    <w:p w14:paraId="6619811C">
      <w:pPr>
        <w:pStyle w:val="13"/>
        <w:numPr>
          <w:ilvl w:val="0"/>
          <w:numId w:val="2"/>
        </w:numPr>
        <w:spacing w:after="0" w:line="360" w:lineRule="auto"/>
        <w:rPr>
          <w:rFonts w:hint="eastAsia" w:ascii="宋体" w:hAnsi="宋体" w:eastAsia="宋体"/>
          <w:szCs w:val="22"/>
        </w:rPr>
      </w:pPr>
      <w:r>
        <w:rPr>
          <w:rFonts w:hint="eastAsia" w:ascii="宋体" w:hAnsi="宋体" w:eastAsia="宋体"/>
          <w:szCs w:val="22"/>
        </w:rPr>
        <w:t>支持过车抓拍功能，并对过车数据进行统计，准确率≥99%；</w:t>
      </w:r>
    </w:p>
    <w:p w14:paraId="2FC7DDF6">
      <w:pPr>
        <w:pStyle w:val="13"/>
        <w:numPr>
          <w:ilvl w:val="0"/>
          <w:numId w:val="2"/>
        </w:numPr>
        <w:spacing w:after="0" w:line="360" w:lineRule="auto"/>
        <w:rPr>
          <w:rFonts w:hint="eastAsia" w:ascii="宋体" w:hAnsi="宋体" w:eastAsia="宋体"/>
          <w:szCs w:val="22"/>
        </w:rPr>
      </w:pPr>
      <w:r>
        <w:rPr>
          <w:rFonts w:hint="eastAsia" w:ascii="宋体" w:hAnsi="宋体" w:eastAsia="宋体"/>
          <w:szCs w:val="22"/>
        </w:rPr>
        <w:t>支持红绿灯信号视频检验功能，具备车辆闯红灯捕获功能，捕获率≥99%，准确率≥99%，支持连续闯红灯事件检测，并自动上传报警信息；</w:t>
      </w:r>
    </w:p>
    <w:p w14:paraId="072C4930">
      <w:pPr>
        <w:pStyle w:val="13"/>
        <w:numPr>
          <w:ilvl w:val="0"/>
          <w:numId w:val="2"/>
        </w:numPr>
        <w:spacing w:after="0" w:line="360" w:lineRule="auto"/>
        <w:rPr>
          <w:rFonts w:hint="eastAsia" w:ascii="宋体" w:hAnsi="宋体" w:eastAsia="宋体"/>
          <w:szCs w:val="22"/>
        </w:rPr>
      </w:pPr>
      <w:r>
        <w:rPr>
          <w:rFonts w:hint="eastAsia" w:ascii="宋体" w:hAnsi="宋体" w:eastAsia="宋体"/>
          <w:szCs w:val="22"/>
        </w:rPr>
        <w:t>支持按照时间段和车道配置压线、违法变道、欠速、不按导向行驶、机占非、非占机、逆行、黄网格违停、违法掉头、禁货车通行等违法行车，平均捕获率≥99%，平均准确率≥99%；</w:t>
      </w:r>
    </w:p>
    <w:p w14:paraId="102D2D42">
      <w:pPr>
        <w:pStyle w:val="13"/>
        <w:numPr>
          <w:ilvl w:val="0"/>
          <w:numId w:val="2"/>
        </w:numPr>
        <w:spacing w:after="0" w:line="360" w:lineRule="auto"/>
        <w:rPr>
          <w:rFonts w:hint="eastAsia" w:ascii="宋体" w:hAnsi="宋体" w:eastAsia="宋体"/>
          <w:szCs w:val="22"/>
        </w:rPr>
      </w:pPr>
      <w:r>
        <w:rPr>
          <w:rFonts w:hint="eastAsia" w:ascii="宋体" w:hAnsi="宋体" w:eastAsia="宋体"/>
          <w:szCs w:val="22"/>
        </w:rPr>
        <w:t>支持车检器、红绿灯信号检测器和雷达等串口外围设备的触发输入；</w:t>
      </w:r>
    </w:p>
    <w:p w14:paraId="6BE784AC">
      <w:pPr>
        <w:pStyle w:val="13"/>
        <w:numPr>
          <w:ilvl w:val="0"/>
          <w:numId w:val="2"/>
        </w:numPr>
        <w:spacing w:after="0" w:line="360" w:lineRule="auto"/>
        <w:rPr>
          <w:rFonts w:hint="eastAsia" w:ascii="宋体" w:hAnsi="宋体" w:eastAsia="宋体"/>
          <w:szCs w:val="22"/>
        </w:rPr>
      </w:pPr>
      <w:r>
        <w:rPr>
          <w:rFonts w:hint="eastAsia" w:ascii="宋体" w:hAnsi="宋体" w:eastAsia="宋体"/>
          <w:szCs w:val="22"/>
        </w:rPr>
        <w:t>支持电动自行车闯红灯、逆行、占用机动车道、不戴头盔等违法行为抓拍；</w:t>
      </w:r>
    </w:p>
    <w:p w14:paraId="05AB7BFA">
      <w:pPr>
        <w:pStyle w:val="13"/>
        <w:numPr>
          <w:ilvl w:val="0"/>
          <w:numId w:val="2"/>
        </w:numPr>
        <w:spacing w:after="0" w:line="360" w:lineRule="auto"/>
        <w:rPr>
          <w:rFonts w:hint="eastAsia" w:ascii="宋体" w:hAnsi="宋体" w:eastAsia="宋体"/>
          <w:szCs w:val="22"/>
          <w:highlight w:val="none"/>
        </w:rPr>
      </w:pPr>
      <w:r>
        <w:rPr>
          <w:rFonts w:hint="eastAsia" w:ascii="宋体" w:hAnsi="宋体" w:eastAsia="宋体"/>
          <w:szCs w:val="22"/>
          <w:highlight w:val="none"/>
        </w:rPr>
        <w:t>▲护罩支持侧面翻盖开合，且采用双卡扣式安装，便于维护（提供所投产品的第三方检测机构出具的检测报告）；</w:t>
      </w:r>
    </w:p>
    <w:p w14:paraId="627A06F3">
      <w:pPr>
        <w:pStyle w:val="13"/>
        <w:numPr>
          <w:ilvl w:val="0"/>
          <w:numId w:val="2"/>
        </w:numPr>
        <w:spacing w:after="0" w:line="360" w:lineRule="auto"/>
        <w:rPr>
          <w:rFonts w:hint="eastAsia" w:ascii="宋体" w:hAnsi="宋体" w:eastAsia="宋体"/>
          <w:szCs w:val="22"/>
        </w:rPr>
      </w:pPr>
      <w:r>
        <w:rPr>
          <w:rFonts w:hint="eastAsia" w:ascii="宋体" w:hAnsi="宋体" w:eastAsia="宋体"/>
          <w:szCs w:val="22"/>
        </w:rPr>
        <w:t>具有不少于以下接口：2个10M/100M/1000M的RJ45自适应网络接口、4个RS485接口、1个TF卡接口、1个复位按键；</w:t>
      </w:r>
    </w:p>
    <w:p w14:paraId="32C558CF">
      <w:pPr>
        <w:pStyle w:val="13"/>
        <w:numPr>
          <w:ilvl w:val="0"/>
          <w:numId w:val="2"/>
        </w:numPr>
        <w:spacing w:after="0" w:line="360" w:lineRule="auto"/>
        <w:rPr>
          <w:rFonts w:hint="eastAsia" w:ascii="宋体" w:hAnsi="宋体" w:eastAsia="宋体"/>
          <w:szCs w:val="22"/>
        </w:rPr>
      </w:pPr>
      <w:r>
        <w:rPr>
          <w:rFonts w:hint="eastAsia" w:ascii="宋体" w:hAnsi="宋体" w:eastAsia="宋体"/>
          <w:szCs w:val="22"/>
        </w:rPr>
        <w:t>支持AC50~300V范围内正常工作；</w:t>
      </w:r>
    </w:p>
    <w:p w14:paraId="553B0513">
      <w:pPr>
        <w:pStyle w:val="13"/>
        <w:numPr>
          <w:ilvl w:val="0"/>
          <w:numId w:val="2"/>
        </w:numPr>
        <w:spacing w:after="0" w:line="360" w:lineRule="auto"/>
        <w:rPr>
          <w:rFonts w:hint="eastAsia" w:ascii="宋体" w:hAnsi="宋体" w:eastAsia="宋体"/>
          <w:szCs w:val="22"/>
        </w:rPr>
      </w:pPr>
      <w:r>
        <w:rPr>
          <w:rFonts w:hint="eastAsia" w:ascii="宋体" w:hAnsi="宋体" w:eastAsia="宋体"/>
          <w:szCs w:val="22"/>
        </w:rPr>
        <w:t>防护等级不低于IP67。</w:t>
      </w:r>
    </w:p>
    <w:p w14:paraId="0E0094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1" w:firstLineChars="100"/>
        <w:textAlignment w:val="auto"/>
        <w:outlineLvl w:val="1"/>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（2）暖光LED频闪灯</w:t>
      </w:r>
    </w:p>
    <w:p w14:paraId="076816F5">
      <w:pPr>
        <w:pStyle w:val="13"/>
        <w:numPr>
          <w:ilvl w:val="0"/>
          <w:numId w:val="3"/>
        </w:numPr>
        <w:spacing w:after="0" w:line="360" w:lineRule="auto"/>
        <w:rPr>
          <w:rFonts w:hint="eastAsia" w:ascii="宋体" w:hAnsi="宋体" w:eastAsia="宋体"/>
          <w:szCs w:val="22"/>
        </w:rPr>
      </w:pPr>
      <w:r>
        <w:rPr>
          <w:rFonts w:hint="eastAsia" w:ascii="宋体" w:hAnsi="宋体" w:eastAsia="宋体"/>
          <w:szCs w:val="22"/>
        </w:rPr>
        <w:t>光源类型：采用高亮度LED为光源，光源灯珠不少于16颗；</w:t>
      </w:r>
    </w:p>
    <w:p w14:paraId="35BA6A11">
      <w:pPr>
        <w:pStyle w:val="13"/>
        <w:numPr>
          <w:ilvl w:val="0"/>
          <w:numId w:val="3"/>
        </w:numPr>
        <w:spacing w:after="0" w:line="360" w:lineRule="auto"/>
        <w:rPr>
          <w:rFonts w:hint="eastAsia" w:ascii="宋体" w:hAnsi="宋体" w:eastAsia="宋体"/>
          <w:szCs w:val="22"/>
        </w:rPr>
      </w:pPr>
      <w:r>
        <w:rPr>
          <w:rFonts w:hint="eastAsia" w:ascii="宋体" w:hAnsi="宋体" w:eastAsia="宋体"/>
          <w:szCs w:val="22"/>
        </w:rPr>
        <w:t>光学性能：补光装置的补光区域内光斑应均匀、无暗区、无明显抖动；</w:t>
      </w:r>
    </w:p>
    <w:p w14:paraId="5AA95063">
      <w:pPr>
        <w:pStyle w:val="13"/>
        <w:numPr>
          <w:ilvl w:val="0"/>
          <w:numId w:val="3"/>
        </w:numPr>
        <w:spacing w:after="0" w:line="360" w:lineRule="auto"/>
        <w:rPr>
          <w:rFonts w:hint="eastAsia" w:ascii="宋体" w:hAnsi="宋体" w:eastAsia="宋体"/>
          <w:szCs w:val="22"/>
        </w:rPr>
      </w:pPr>
      <w:r>
        <w:rPr>
          <w:rFonts w:hint="eastAsia" w:ascii="宋体" w:hAnsi="宋体" w:eastAsia="宋体"/>
          <w:szCs w:val="22"/>
        </w:rPr>
        <w:t>有效光照度：距离补光装置20m处，基准轴上的有效光照度一级应小于或等于201x，二级应小于或等于2001x，补光区域边缘的有效光照度应大于或等于基准轴上光照度的50%；</w:t>
      </w:r>
    </w:p>
    <w:p w14:paraId="32A22F37">
      <w:pPr>
        <w:pStyle w:val="13"/>
        <w:numPr>
          <w:ilvl w:val="0"/>
          <w:numId w:val="3"/>
        </w:numPr>
        <w:spacing w:after="0" w:line="360" w:lineRule="auto"/>
        <w:rPr>
          <w:rFonts w:hint="eastAsia" w:ascii="宋体" w:hAnsi="宋体" w:eastAsia="宋体"/>
          <w:szCs w:val="22"/>
        </w:rPr>
      </w:pPr>
      <w:r>
        <w:rPr>
          <w:rFonts w:hint="eastAsia" w:ascii="宋体" w:hAnsi="宋体" w:eastAsia="宋体"/>
          <w:szCs w:val="22"/>
        </w:rPr>
        <w:t>平均光照度：平均光照度一级应小于或等于51x，二级应小于或等于401x，在基准轴上、下7.5°范围外，平均光照度应小于或等于51x；</w:t>
      </w:r>
    </w:p>
    <w:p w14:paraId="0E094AAC">
      <w:pPr>
        <w:pStyle w:val="13"/>
        <w:numPr>
          <w:ilvl w:val="0"/>
          <w:numId w:val="3"/>
        </w:numPr>
        <w:spacing w:after="0" w:line="360" w:lineRule="auto"/>
        <w:rPr>
          <w:rFonts w:hint="eastAsia" w:ascii="宋体" w:hAnsi="宋体" w:eastAsia="宋体"/>
          <w:szCs w:val="22"/>
        </w:rPr>
      </w:pPr>
      <w:r>
        <w:rPr>
          <w:rFonts w:hint="eastAsia" w:ascii="宋体" w:hAnsi="宋体" w:eastAsia="宋体"/>
          <w:szCs w:val="22"/>
        </w:rPr>
        <w:t>光源显色指数：可见光型补光装置的光源显色指数应大于65Ra</w:t>
      </w:r>
    </w:p>
    <w:p w14:paraId="66BB93D6">
      <w:pPr>
        <w:pStyle w:val="13"/>
        <w:numPr>
          <w:ilvl w:val="0"/>
          <w:numId w:val="3"/>
        </w:numPr>
        <w:spacing w:after="0" w:line="360" w:lineRule="auto"/>
        <w:rPr>
          <w:rFonts w:hint="eastAsia" w:ascii="宋体" w:hAnsi="宋体" w:eastAsia="宋体"/>
          <w:szCs w:val="22"/>
        </w:rPr>
      </w:pPr>
      <w:r>
        <w:rPr>
          <w:rFonts w:hint="eastAsia" w:ascii="宋体" w:hAnsi="宋体" w:eastAsia="宋体"/>
          <w:szCs w:val="22"/>
        </w:rPr>
        <w:t>光源色温：LED光源色温应在2800K~5500K 范围内；</w:t>
      </w:r>
    </w:p>
    <w:p w14:paraId="2CA6BCB7">
      <w:pPr>
        <w:pStyle w:val="13"/>
        <w:numPr>
          <w:ilvl w:val="0"/>
          <w:numId w:val="3"/>
        </w:numPr>
        <w:spacing w:after="0" w:line="360" w:lineRule="auto"/>
        <w:rPr>
          <w:rFonts w:hint="eastAsia" w:ascii="宋体" w:hAnsi="宋体" w:eastAsia="宋体"/>
          <w:szCs w:val="22"/>
        </w:rPr>
      </w:pPr>
      <w:r>
        <w:rPr>
          <w:rFonts w:hint="eastAsia" w:ascii="宋体" w:hAnsi="宋体" w:eastAsia="宋体"/>
          <w:szCs w:val="22"/>
        </w:rPr>
        <w:t>同步功能：频闪型补光装置应具有与交通技术监控设备同步的功能，受到触发后按设定的周期闪烁闪烁频率大于或等于75Hz，每个周期内的点亮时间应能根据交通技术监控设备的要求进行调节，且最大值应小于或等于2ms；</w:t>
      </w:r>
    </w:p>
    <w:p w14:paraId="7E034E21">
      <w:pPr>
        <w:pStyle w:val="13"/>
        <w:numPr>
          <w:ilvl w:val="0"/>
          <w:numId w:val="3"/>
        </w:numPr>
        <w:spacing w:after="0" w:line="360" w:lineRule="auto"/>
        <w:rPr>
          <w:rFonts w:hint="eastAsia" w:ascii="宋体" w:hAnsi="宋体" w:eastAsia="宋体"/>
          <w:szCs w:val="22"/>
        </w:rPr>
      </w:pPr>
      <w:r>
        <w:rPr>
          <w:rFonts w:hint="eastAsia" w:ascii="宋体" w:hAnsi="宋体" w:eastAsia="宋体"/>
          <w:szCs w:val="22"/>
        </w:rPr>
        <w:t>中心照度：补光投射在25m距离情况下，应不小于50lx；</w:t>
      </w:r>
    </w:p>
    <w:p w14:paraId="5BFDC2C4">
      <w:pPr>
        <w:pStyle w:val="13"/>
        <w:numPr>
          <w:ilvl w:val="0"/>
          <w:numId w:val="3"/>
        </w:numPr>
        <w:spacing w:after="0" w:line="360" w:lineRule="auto"/>
        <w:rPr>
          <w:rFonts w:hint="eastAsia" w:ascii="宋体" w:hAnsi="宋体" w:eastAsia="宋体"/>
          <w:szCs w:val="22"/>
        </w:rPr>
      </w:pPr>
      <w:r>
        <w:rPr>
          <w:rFonts w:hint="eastAsia" w:ascii="宋体" w:hAnsi="宋体" w:eastAsia="宋体"/>
          <w:szCs w:val="22"/>
        </w:rPr>
        <w:t>光通量：应不小于1800lm@20%占空比；</w:t>
      </w:r>
    </w:p>
    <w:p w14:paraId="137223B9">
      <w:pPr>
        <w:pStyle w:val="13"/>
        <w:numPr>
          <w:ilvl w:val="0"/>
          <w:numId w:val="3"/>
        </w:numPr>
        <w:spacing w:after="0" w:line="360" w:lineRule="auto"/>
        <w:rPr>
          <w:rFonts w:hint="eastAsia" w:ascii="宋体" w:hAnsi="宋体" w:eastAsia="宋体"/>
          <w:szCs w:val="22"/>
        </w:rPr>
      </w:pPr>
      <w:r>
        <w:rPr>
          <w:rFonts w:hint="eastAsia" w:ascii="宋体" w:hAnsi="宋体" w:eastAsia="宋体"/>
          <w:szCs w:val="22"/>
        </w:rPr>
        <w:t>均匀度：应不小于0.4；</w:t>
      </w:r>
    </w:p>
    <w:p w14:paraId="2EFE5E1B">
      <w:pPr>
        <w:pStyle w:val="13"/>
        <w:numPr>
          <w:ilvl w:val="0"/>
          <w:numId w:val="3"/>
        </w:numPr>
        <w:spacing w:after="0" w:line="360" w:lineRule="auto"/>
        <w:rPr>
          <w:rFonts w:hint="eastAsia" w:ascii="宋体" w:hAnsi="宋体" w:eastAsia="宋体"/>
          <w:szCs w:val="22"/>
        </w:rPr>
      </w:pPr>
      <w:r>
        <w:rPr>
          <w:rFonts w:hint="eastAsia" w:ascii="宋体" w:hAnsi="宋体" w:eastAsia="宋体"/>
          <w:szCs w:val="22"/>
        </w:rPr>
        <w:t>最佳投射距离：16～25m；</w:t>
      </w:r>
    </w:p>
    <w:p w14:paraId="145F3993">
      <w:pPr>
        <w:pStyle w:val="13"/>
        <w:numPr>
          <w:ilvl w:val="0"/>
          <w:numId w:val="3"/>
        </w:numPr>
        <w:spacing w:after="0" w:line="360" w:lineRule="auto"/>
        <w:rPr>
          <w:rFonts w:hint="eastAsia" w:ascii="宋体" w:hAnsi="宋体" w:eastAsia="宋体"/>
          <w:szCs w:val="22"/>
        </w:rPr>
      </w:pPr>
      <w:r>
        <w:rPr>
          <w:rFonts w:hint="eastAsia" w:ascii="宋体" w:hAnsi="宋体" w:eastAsia="宋体"/>
          <w:szCs w:val="22"/>
        </w:rPr>
        <w:t>触发方式：支持电平量触发；</w:t>
      </w:r>
    </w:p>
    <w:p w14:paraId="7EC73751">
      <w:pPr>
        <w:pStyle w:val="13"/>
        <w:numPr>
          <w:ilvl w:val="0"/>
          <w:numId w:val="3"/>
        </w:numPr>
        <w:spacing w:after="0" w:line="360" w:lineRule="auto"/>
        <w:rPr>
          <w:rFonts w:hint="eastAsia" w:ascii="宋体" w:hAnsi="宋体" w:eastAsia="宋体"/>
          <w:szCs w:val="22"/>
        </w:rPr>
      </w:pPr>
      <w:r>
        <w:rPr>
          <w:rFonts w:hint="eastAsia" w:ascii="宋体" w:hAnsi="宋体" w:eastAsia="宋体"/>
          <w:szCs w:val="22"/>
        </w:rPr>
        <w:t>控制方式：支持RS485控制；</w:t>
      </w:r>
    </w:p>
    <w:p w14:paraId="7E74CBF8">
      <w:pPr>
        <w:pStyle w:val="13"/>
        <w:numPr>
          <w:ilvl w:val="0"/>
          <w:numId w:val="3"/>
        </w:numPr>
        <w:spacing w:after="0" w:line="360" w:lineRule="auto"/>
        <w:rPr>
          <w:rFonts w:hint="eastAsia" w:ascii="宋体" w:hAnsi="宋体" w:eastAsia="宋体"/>
          <w:szCs w:val="22"/>
        </w:rPr>
      </w:pPr>
      <w:r>
        <w:rPr>
          <w:rFonts w:hint="eastAsia" w:ascii="宋体" w:hAnsi="宋体" w:eastAsia="宋体"/>
          <w:szCs w:val="22"/>
        </w:rPr>
        <w:t>工作温度：-40℃～+60℃；</w:t>
      </w:r>
    </w:p>
    <w:p w14:paraId="1AACE9F9">
      <w:pPr>
        <w:pStyle w:val="13"/>
        <w:numPr>
          <w:ilvl w:val="0"/>
          <w:numId w:val="3"/>
        </w:numPr>
        <w:spacing w:after="0" w:line="360" w:lineRule="auto"/>
        <w:rPr>
          <w:rFonts w:hint="eastAsia" w:ascii="宋体" w:hAnsi="宋体" w:eastAsia="宋体"/>
          <w:szCs w:val="22"/>
        </w:rPr>
      </w:pPr>
      <w:r>
        <w:rPr>
          <w:rFonts w:hint="eastAsia" w:ascii="宋体" w:hAnsi="宋体" w:eastAsia="宋体"/>
          <w:szCs w:val="22"/>
        </w:rPr>
        <w:t>输入电压：90Vac～264Vac；</w:t>
      </w:r>
    </w:p>
    <w:p w14:paraId="2800917B">
      <w:pPr>
        <w:pStyle w:val="13"/>
        <w:numPr>
          <w:ilvl w:val="0"/>
          <w:numId w:val="3"/>
        </w:numPr>
        <w:spacing w:after="0" w:line="360" w:lineRule="auto"/>
        <w:rPr>
          <w:rFonts w:hint="eastAsia" w:ascii="宋体" w:hAnsi="宋体" w:eastAsia="宋体"/>
          <w:szCs w:val="22"/>
        </w:rPr>
      </w:pPr>
      <w:r>
        <w:rPr>
          <w:rFonts w:hint="eastAsia" w:ascii="宋体" w:hAnsi="宋体" w:eastAsia="宋体"/>
          <w:szCs w:val="22"/>
        </w:rPr>
        <w:t>防护等级：应不低于IP65。</w:t>
      </w:r>
    </w:p>
    <w:p w14:paraId="108BF58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1" w:firstLineChars="100"/>
        <w:textAlignment w:val="auto"/>
        <w:outlineLvl w:val="1"/>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（3）生态卡口一体化抓拍单元</w:t>
      </w:r>
    </w:p>
    <w:p w14:paraId="1C518E76">
      <w:pPr>
        <w:pStyle w:val="13"/>
        <w:numPr>
          <w:ilvl w:val="0"/>
          <w:numId w:val="4"/>
        </w:numPr>
        <w:spacing w:after="0" w:line="360" w:lineRule="auto"/>
        <w:rPr>
          <w:rFonts w:hint="eastAsia" w:ascii="宋体" w:hAnsi="宋体" w:eastAsia="宋体"/>
          <w:szCs w:val="22"/>
        </w:rPr>
      </w:pPr>
      <w:r>
        <w:rPr>
          <w:rFonts w:hint="eastAsia" w:ascii="宋体" w:hAnsi="宋体" w:eastAsia="宋体"/>
          <w:szCs w:val="22"/>
        </w:rPr>
        <w:t>传感器分辨率≥4096×2160，传感器靶面≥1.1"；</w:t>
      </w:r>
    </w:p>
    <w:p w14:paraId="19FE50BE">
      <w:pPr>
        <w:pStyle w:val="13"/>
        <w:numPr>
          <w:ilvl w:val="0"/>
          <w:numId w:val="4"/>
        </w:numPr>
        <w:spacing w:after="0" w:line="360" w:lineRule="auto"/>
        <w:rPr>
          <w:rFonts w:hint="eastAsia" w:ascii="宋体" w:hAnsi="宋体" w:eastAsia="宋体"/>
          <w:szCs w:val="22"/>
        </w:rPr>
      </w:pPr>
      <w:r>
        <w:rPr>
          <w:rFonts w:hint="eastAsia" w:ascii="宋体" w:hAnsi="宋体" w:eastAsia="宋体"/>
          <w:szCs w:val="22"/>
        </w:rPr>
        <w:t>支持红外和可见光同时补光，可调整红外及可见光融合比例，在低照环境下抓拍清晰车内目标；</w:t>
      </w:r>
    </w:p>
    <w:p w14:paraId="42448967">
      <w:pPr>
        <w:pStyle w:val="13"/>
        <w:numPr>
          <w:ilvl w:val="0"/>
          <w:numId w:val="4"/>
        </w:numPr>
        <w:spacing w:after="0" w:line="360" w:lineRule="auto"/>
        <w:rPr>
          <w:rFonts w:hint="eastAsia" w:ascii="宋体" w:hAnsi="宋体" w:eastAsia="宋体"/>
          <w:szCs w:val="22"/>
          <w:highlight w:val="none"/>
        </w:rPr>
      </w:pPr>
      <w:r>
        <w:rPr>
          <w:rFonts w:hint="eastAsia" w:ascii="宋体" w:hAnsi="宋体" w:eastAsia="宋体"/>
          <w:szCs w:val="22"/>
          <w:highlight w:val="none"/>
        </w:rPr>
        <w:t>▲采用双帧融合，在夜间或光线不足时，能清晰记录通过的车辆的图像记录，记录中车牌、车身颜色等均清晰可见（提供所投产品的第三方检测机构出具的检测报告）；</w:t>
      </w:r>
    </w:p>
    <w:p w14:paraId="5E52AB3C">
      <w:pPr>
        <w:pStyle w:val="13"/>
        <w:numPr>
          <w:ilvl w:val="0"/>
          <w:numId w:val="4"/>
        </w:numPr>
        <w:spacing w:after="0" w:line="360" w:lineRule="auto"/>
        <w:rPr>
          <w:rFonts w:hint="eastAsia" w:ascii="宋体" w:hAnsi="宋体" w:eastAsia="宋体"/>
          <w:szCs w:val="22"/>
          <w:highlight w:val="none"/>
        </w:rPr>
      </w:pPr>
      <w:r>
        <w:rPr>
          <w:rFonts w:hint="eastAsia" w:ascii="宋体" w:hAnsi="宋体" w:eastAsia="宋体"/>
          <w:szCs w:val="22"/>
          <w:highlight w:val="none"/>
        </w:rPr>
        <w:t>支持控制外置四合一补光灯，可控制LED频闪、LED频曝、氙气红外爆闪及氙气白光爆闪灯；</w:t>
      </w:r>
    </w:p>
    <w:p w14:paraId="7EF48F49">
      <w:pPr>
        <w:pStyle w:val="13"/>
        <w:numPr>
          <w:ilvl w:val="0"/>
          <w:numId w:val="4"/>
        </w:numPr>
        <w:spacing w:after="0" w:line="360" w:lineRule="auto"/>
        <w:rPr>
          <w:rFonts w:hint="eastAsia" w:ascii="宋体" w:hAnsi="宋体" w:eastAsia="宋体"/>
          <w:szCs w:val="22"/>
          <w:highlight w:val="none"/>
        </w:rPr>
      </w:pPr>
      <w:r>
        <w:rPr>
          <w:rFonts w:hint="eastAsia" w:ascii="宋体" w:hAnsi="宋体" w:eastAsia="宋体"/>
          <w:szCs w:val="22"/>
          <w:highlight w:val="none"/>
        </w:rPr>
        <w:t>▲支持辅助对焦功能，在预览或聚焦功能界面，可绘制对焦区域，点击放大对焦，同时回转镜头画面中会提示当前清晰度值，可辅助完成对焦（提供所投产品的第三方检测机构出具的检测报告）；</w:t>
      </w:r>
    </w:p>
    <w:p w14:paraId="771CA1E4">
      <w:pPr>
        <w:pStyle w:val="13"/>
        <w:numPr>
          <w:ilvl w:val="0"/>
          <w:numId w:val="4"/>
        </w:numPr>
        <w:spacing w:after="0" w:line="360" w:lineRule="auto"/>
        <w:rPr>
          <w:rFonts w:hint="eastAsia" w:ascii="宋体" w:hAnsi="宋体" w:eastAsia="宋体"/>
          <w:szCs w:val="22"/>
        </w:rPr>
      </w:pPr>
      <w:r>
        <w:rPr>
          <w:rFonts w:hint="eastAsia" w:ascii="宋体" w:hAnsi="宋体" w:eastAsia="宋体"/>
          <w:szCs w:val="22"/>
        </w:rPr>
        <w:t>具备车牌识别功能，可识别不少于7种车牌颜色，支持识别纯电动新能源小车牌、澳门牌、港牌等，车牌捕获率≥99%，识别准确率≥99%；</w:t>
      </w:r>
    </w:p>
    <w:p w14:paraId="445E045C">
      <w:pPr>
        <w:pStyle w:val="13"/>
        <w:numPr>
          <w:ilvl w:val="0"/>
          <w:numId w:val="4"/>
        </w:numPr>
        <w:spacing w:after="0" w:line="360" w:lineRule="auto"/>
        <w:rPr>
          <w:rFonts w:hint="eastAsia" w:ascii="宋体" w:hAnsi="宋体" w:eastAsia="宋体"/>
          <w:szCs w:val="22"/>
        </w:rPr>
      </w:pPr>
      <w:r>
        <w:rPr>
          <w:rFonts w:hint="eastAsia" w:ascii="宋体" w:hAnsi="宋体" w:eastAsia="宋体"/>
          <w:szCs w:val="22"/>
        </w:rPr>
        <w:t>支持AI车牌增强功能，开启后可防止车牌过曝，支持蓝牌、黄牌、白牌、黑牌、绿牌、黄绿双拼牌；支持AI车窗增强功能，开启后可去除白天车窗反光和彩条纹；</w:t>
      </w:r>
    </w:p>
    <w:p w14:paraId="78344700">
      <w:pPr>
        <w:pStyle w:val="13"/>
        <w:numPr>
          <w:ilvl w:val="0"/>
          <w:numId w:val="4"/>
        </w:numPr>
        <w:spacing w:after="0" w:line="360" w:lineRule="auto"/>
        <w:rPr>
          <w:rFonts w:hint="eastAsia" w:ascii="宋体" w:hAnsi="宋体" w:eastAsia="宋体"/>
          <w:szCs w:val="22"/>
        </w:rPr>
      </w:pPr>
      <w:r>
        <w:rPr>
          <w:rFonts w:hint="eastAsia" w:ascii="宋体" w:hAnsi="宋体" w:eastAsia="宋体"/>
          <w:szCs w:val="22"/>
        </w:rPr>
        <w:t>支持过车抓拍功能，并对过车数据进行统计，准确率≥99%；</w:t>
      </w:r>
    </w:p>
    <w:p w14:paraId="56B7B84F">
      <w:pPr>
        <w:pStyle w:val="13"/>
        <w:numPr>
          <w:ilvl w:val="0"/>
          <w:numId w:val="4"/>
        </w:numPr>
        <w:spacing w:after="0" w:line="360" w:lineRule="auto"/>
        <w:rPr>
          <w:rFonts w:hint="eastAsia" w:ascii="宋体" w:hAnsi="宋体" w:eastAsia="宋体"/>
          <w:szCs w:val="22"/>
        </w:rPr>
      </w:pPr>
      <w:r>
        <w:rPr>
          <w:rFonts w:hint="eastAsia" w:ascii="宋体" w:hAnsi="宋体" w:eastAsia="宋体"/>
          <w:szCs w:val="22"/>
        </w:rPr>
        <w:t>支持前排人脸检测和主驾驶员、副驾驶员的性别属性识别功能，能够区分主副驾，驾驶员人脸抠图率≥99%，副驾驶人脸抠图率≥98%；可对抠取的人脸图片叠加位置/图片大小、亮度进行调节设置；</w:t>
      </w:r>
    </w:p>
    <w:p w14:paraId="7C0E42FB">
      <w:pPr>
        <w:pStyle w:val="13"/>
        <w:numPr>
          <w:ilvl w:val="0"/>
          <w:numId w:val="4"/>
        </w:numPr>
        <w:spacing w:after="0" w:line="360" w:lineRule="auto"/>
        <w:rPr>
          <w:rFonts w:hint="eastAsia" w:ascii="宋体" w:hAnsi="宋体" w:eastAsia="宋体"/>
          <w:szCs w:val="22"/>
          <w:highlight w:val="none"/>
        </w:rPr>
      </w:pPr>
      <w:r>
        <w:rPr>
          <w:rFonts w:hint="eastAsia" w:ascii="宋体" w:hAnsi="宋体" w:eastAsia="宋体"/>
          <w:szCs w:val="22"/>
          <w:highlight w:val="none"/>
        </w:rPr>
        <w:t>▲设备支持补光灯简易接口设计，可通过2个RJ45接口控制外置补光灯，支持调节补光灯亮度（提供所投产品的第三方检测机构出具的检测报告）；</w:t>
      </w:r>
    </w:p>
    <w:p w14:paraId="6749F08B">
      <w:pPr>
        <w:pStyle w:val="13"/>
        <w:numPr>
          <w:ilvl w:val="0"/>
          <w:numId w:val="4"/>
        </w:numPr>
        <w:spacing w:after="0" w:line="360" w:lineRule="auto"/>
        <w:rPr>
          <w:rFonts w:hint="eastAsia" w:ascii="宋体" w:hAnsi="宋体" w:eastAsia="宋体"/>
          <w:szCs w:val="22"/>
        </w:rPr>
      </w:pPr>
      <w:r>
        <w:rPr>
          <w:rFonts w:hint="eastAsia" w:ascii="宋体" w:hAnsi="宋体" w:eastAsia="宋体"/>
          <w:szCs w:val="22"/>
        </w:rPr>
        <w:t>具有不少于以下接口：2个10M/100M/1000M的RJ45自适应网络接口、4个RS485接口、1个TF卡接口、1个复位按键；</w:t>
      </w:r>
    </w:p>
    <w:p w14:paraId="1C12D807">
      <w:pPr>
        <w:pStyle w:val="13"/>
        <w:numPr>
          <w:ilvl w:val="0"/>
          <w:numId w:val="4"/>
        </w:numPr>
        <w:spacing w:after="0" w:line="360" w:lineRule="auto"/>
        <w:rPr>
          <w:rFonts w:hint="eastAsia" w:ascii="宋体" w:hAnsi="宋体" w:eastAsia="宋体"/>
          <w:szCs w:val="22"/>
        </w:rPr>
      </w:pPr>
      <w:r>
        <w:rPr>
          <w:rFonts w:hint="eastAsia" w:ascii="宋体" w:hAnsi="宋体" w:eastAsia="宋体"/>
          <w:szCs w:val="22"/>
        </w:rPr>
        <w:t>支持AC50~300V范围内正常工作；</w:t>
      </w:r>
    </w:p>
    <w:p w14:paraId="6E9E349B">
      <w:pPr>
        <w:pStyle w:val="13"/>
        <w:numPr>
          <w:ilvl w:val="0"/>
          <w:numId w:val="4"/>
        </w:numPr>
        <w:spacing w:after="0" w:line="360" w:lineRule="auto"/>
        <w:rPr>
          <w:rFonts w:hint="eastAsia" w:ascii="宋体" w:hAnsi="宋体" w:eastAsia="宋体"/>
          <w:szCs w:val="22"/>
        </w:rPr>
      </w:pPr>
      <w:r>
        <w:rPr>
          <w:rFonts w:hint="eastAsia" w:ascii="宋体" w:hAnsi="宋体" w:eastAsia="宋体"/>
          <w:szCs w:val="22"/>
        </w:rPr>
        <w:t>防护等级不低于IP67。</w:t>
      </w:r>
    </w:p>
    <w:p w14:paraId="3D0DE1E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1" w:firstLineChars="100"/>
        <w:textAlignment w:val="auto"/>
        <w:outlineLvl w:val="1"/>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（4）四合一生态补光灯（防眩光）</w:t>
      </w:r>
    </w:p>
    <w:p w14:paraId="62B51546">
      <w:pPr>
        <w:pStyle w:val="13"/>
        <w:numPr>
          <w:ilvl w:val="0"/>
          <w:numId w:val="5"/>
        </w:numPr>
        <w:spacing w:after="0" w:line="360" w:lineRule="auto"/>
        <w:rPr>
          <w:rFonts w:hint="eastAsia" w:ascii="宋体" w:hAnsi="宋体" w:eastAsia="宋体"/>
          <w:szCs w:val="22"/>
        </w:rPr>
      </w:pPr>
      <w:r>
        <w:rPr>
          <w:rFonts w:hint="eastAsia" w:ascii="宋体" w:hAnsi="宋体" w:eastAsia="宋体"/>
          <w:szCs w:val="22"/>
        </w:rPr>
        <w:t>光照度：可见光基准轴上光照度：补光区域内光斑应均匀、无暗区、无明显抖动；补光区域边缘的光照度应大于或等于基准轴上光照度的50%；在基准轴上、下7.5°范围外，光照度应小于或等于5lx。红外补光基准轴上光照度：距离红外型补光装置20m处，基准轴上辐照度应大于或等于3000 uW/cm；补光区域内的辐照度应大于或等于基准轴上辐照度的50%；</w:t>
      </w:r>
    </w:p>
    <w:p w14:paraId="31D8937F">
      <w:pPr>
        <w:pStyle w:val="13"/>
        <w:numPr>
          <w:ilvl w:val="0"/>
          <w:numId w:val="5"/>
        </w:numPr>
        <w:spacing w:after="0" w:line="360" w:lineRule="auto"/>
        <w:rPr>
          <w:rFonts w:hint="eastAsia" w:ascii="宋体" w:hAnsi="宋体" w:eastAsia="宋体"/>
          <w:szCs w:val="22"/>
        </w:rPr>
      </w:pPr>
      <w:r>
        <w:rPr>
          <w:rFonts w:hint="eastAsia" w:ascii="宋体" w:hAnsi="宋体" w:eastAsia="宋体"/>
          <w:szCs w:val="22"/>
        </w:rPr>
        <w:t>满足《交通技术监控成像补光装置通用技术条件》（GA_T1202-2022）；</w:t>
      </w:r>
    </w:p>
    <w:p w14:paraId="09879A41">
      <w:pPr>
        <w:pStyle w:val="13"/>
        <w:numPr>
          <w:ilvl w:val="0"/>
          <w:numId w:val="5"/>
        </w:numPr>
        <w:spacing w:after="0" w:line="360" w:lineRule="auto"/>
        <w:rPr>
          <w:rFonts w:hint="eastAsia" w:ascii="宋体" w:hAnsi="宋体" w:eastAsia="宋体"/>
          <w:szCs w:val="22"/>
        </w:rPr>
      </w:pPr>
      <w:r>
        <w:rPr>
          <w:rFonts w:hint="eastAsia" w:ascii="宋体" w:hAnsi="宋体" w:eastAsia="宋体"/>
          <w:szCs w:val="22"/>
        </w:rPr>
        <w:t>光源类型：可见光或红外，可见光光型不少于24 颗LED；</w:t>
      </w:r>
    </w:p>
    <w:p w14:paraId="54BCFD35">
      <w:pPr>
        <w:pStyle w:val="13"/>
        <w:numPr>
          <w:ilvl w:val="0"/>
          <w:numId w:val="5"/>
        </w:numPr>
        <w:spacing w:after="0" w:line="360" w:lineRule="auto"/>
        <w:rPr>
          <w:rFonts w:hint="eastAsia" w:ascii="宋体" w:hAnsi="宋体" w:eastAsia="宋体"/>
          <w:szCs w:val="22"/>
        </w:rPr>
      </w:pPr>
      <w:r>
        <w:rPr>
          <w:rFonts w:hint="eastAsia" w:ascii="宋体" w:hAnsi="宋体" w:eastAsia="宋体"/>
          <w:szCs w:val="22"/>
        </w:rPr>
        <w:t>补光方式：频闪型、脉冲型和持续点亮型；</w:t>
      </w:r>
    </w:p>
    <w:p w14:paraId="6ACB9BB7">
      <w:pPr>
        <w:pStyle w:val="13"/>
        <w:numPr>
          <w:ilvl w:val="0"/>
          <w:numId w:val="5"/>
        </w:numPr>
        <w:spacing w:after="0" w:line="360" w:lineRule="auto"/>
        <w:rPr>
          <w:rFonts w:hint="eastAsia" w:ascii="宋体" w:hAnsi="宋体" w:eastAsia="宋体"/>
          <w:szCs w:val="22"/>
        </w:rPr>
      </w:pPr>
      <w:r>
        <w:rPr>
          <w:rFonts w:hint="eastAsia" w:ascii="宋体" w:hAnsi="宋体" w:eastAsia="宋体"/>
          <w:szCs w:val="22"/>
        </w:rPr>
        <w:t>色温：气体爆闪色温应小于7000K,LED光源色温应处于2800K~5500K范围内，红外型补光装置光源的波段应在680nm~2500nm范围内；</w:t>
      </w:r>
    </w:p>
    <w:p w14:paraId="21D2AA98">
      <w:pPr>
        <w:pStyle w:val="13"/>
        <w:numPr>
          <w:ilvl w:val="0"/>
          <w:numId w:val="5"/>
        </w:numPr>
        <w:spacing w:after="0" w:line="360" w:lineRule="auto"/>
        <w:rPr>
          <w:rFonts w:hint="eastAsia" w:ascii="宋体" w:hAnsi="宋体" w:eastAsia="宋体"/>
          <w:szCs w:val="22"/>
        </w:rPr>
      </w:pPr>
      <w:r>
        <w:rPr>
          <w:rFonts w:hint="eastAsia" w:ascii="宋体" w:hAnsi="宋体" w:eastAsia="宋体"/>
          <w:szCs w:val="22"/>
        </w:rPr>
        <w:t>峰值闪光持续时间：≤500us；</w:t>
      </w:r>
    </w:p>
    <w:p w14:paraId="5778D7A8">
      <w:pPr>
        <w:pStyle w:val="13"/>
        <w:numPr>
          <w:ilvl w:val="0"/>
          <w:numId w:val="5"/>
        </w:numPr>
        <w:spacing w:after="0" w:line="360" w:lineRule="auto"/>
        <w:rPr>
          <w:rFonts w:hint="eastAsia" w:ascii="宋体" w:hAnsi="宋体" w:eastAsia="宋体"/>
          <w:szCs w:val="22"/>
        </w:rPr>
      </w:pPr>
      <w:r>
        <w:rPr>
          <w:rFonts w:hint="eastAsia" w:ascii="宋体" w:hAnsi="宋体" w:eastAsia="宋体"/>
          <w:szCs w:val="22"/>
        </w:rPr>
        <w:t>回电时间：≤60ms；</w:t>
      </w:r>
    </w:p>
    <w:p w14:paraId="1A0AB0C3">
      <w:pPr>
        <w:pStyle w:val="13"/>
        <w:numPr>
          <w:ilvl w:val="0"/>
          <w:numId w:val="5"/>
        </w:numPr>
        <w:spacing w:after="0" w:line="360" w:lineRule="auto"/>
        <w:rPr>
          <w:rFonts w:hint="eastAsia" w:ascii="宋体" w:hAnsi="宋体" w:eastAsia="宋体"/>
          <w:szCs w:val="22"/>
        </w:rPr>
      </w:pPr>
      <w:r>
        <w:rPr>
          <w:rFonts w:hint="eastAsia" w:ascii="宋体" w:hAnsi="宋体" w:eastAsia="宋体"/>
          <w:szCs w:val="22"/>
        </w:rPr>
        <w:t>最佳补光距离：应处于15～30米范围；</w:t>
      </w:r>
    </w:p>
    <w:p w14:paraId="2476CAE9">
      <w:pPr>
        <w:pStyle w:val="13"/>
        <w:numPr>
          <w:ilvl w:val="0"/>
          <w:numId w:val="5"/>
        </w:numPr>
        <w:spacing w:after="0" w:line="360" w:lineRule="auto"/>
        <w:rPr>
          <w:rFonts w:hint="eastAsia" w:ascii="宋体" w:hAnsi="宋体" w:eastAsia="宋体"/>
          <w:szCs w:val="22"/>
        </w:rPr>
      </w:pPr>
      <w:r>
        <w:rPr>
          <w:rFonts w:hint="eastAsia" w:ascii="宋体" w:hAnsi="宋体" w:eastAsia="宋体"/>
          <w:szCs w:val="22"/>
        </w:rPr>
        <w:t>工作寿命：≥1000万次；</w:t>
      </w:r>
    </w:p>
    <w:p w14:paraId="63D7CE66">
      <w:pPr>
        <w:pStyle w:val="13"/>
        <w:numPr>
          <w:ilvl w:val="0"/>
          <w:numId w:val="5"/>
        </w:numPr>
        <w:spacing w:after="0" w:line="360" w:lineRule="auto"/>
        <w:rPr>
          <w:rFonts w:hint="eastAsia" w:ascii="宋体" w:hAnsi="宋体" w:eastAsia="宋体"/>
          <w:szCs w:val="22"/>
        </w:rPr>
      </w:pPr>
      <w:r>
        <w:rPr>
          <w:rFonts w:hint="eastAsia" w:ascii="宋体" w:hAnsi="宋体" w:eastAsia="宋体"/>
          <w:szCs w:val="22"/>
        </w:rPr>
        <w:t>RS485串口功能：支持RS485参数调节和软件升级功能；</w:t>
      </w:r>
    </w:p>
    <w:p w14:paraId="30C11DD1">
      <w:pPr>
        <w:pStyle w:val="13"/>
        <w:numPr>
          <w:ilvl w:val="0"/>
          <w:numId w:val="5"/>
        </w:numPr>
        <w:spacing w:after="0" w:line="360" w:lineRule="auto"/>
        <w:rPr>
          <w:rFonts w:hint="eastAsia" w:ascii="宋体" w:hAnsi="宋体" w:eastAsia="宋体"/>
          <w:szCs w:val="22"/>
        </w:rPr>
      </w:pPr>
      <w:r>
        <w:rPr>
          <w:rFonts w:hint="eastAsia" w:ascii="宋体" w:hAnsi="宋体" w:eastAsia="宋体"/>
          <w:szCs w:val="22"/>
        </w:rPr>
        <w:t>误触发保护功能：支持误触发保护功能；</w:t>
      </w:r>
    </w:p>
    <w:p w14:paraId="61634E66">
      <w:pPr>
        <w:pStyle w:val="13"/>
        <w:numPr>
          <w:ilvl w:val="0"/>
          <w:numId w:val="5"/>
        </w:numPr>
        <w:spacing w:after="0" w:line="360" w:lineRule="auto"/>
        <w:rPr>
          <w:rFonts w:hint="eastAsia" w:ascii="宋体" w:hAnsi="宋体" w:eastAsia="宋体"/>
          <w:szCs w:val="22"/>
        </w:rPr>
      </w:pPr>
      <w:r>
        <w:rPr>
          <w:rFonts w:hint="eastAsia" w:ascii="宋体" w:hAnsi="宋体" w:eastAsia="宋体"/>
          <w:szCs w:val="22"/>
        </w:rPr>
        <w:t>闪光计次功能：支持闪光计次功能；</w:t>
      </w:r>
    </w:p>
    <w:p w14:paraId="0FD06DB6">
      <w:pPr>
        <w:pStyle w:val="13"/>
        <w:numPr>
          <w:ilvl w:val="0"/>
          <w:numId w:val="5"/>
        </w:numPr>
        <w:spacing w:after="0" w:line="360" w:lineRule="auto"/>
        <w:rPr>
          <w:rFonts w:hint="eastAsia" w:ascii="宋体" w:hAnsi="宋体" w:eastAsia="宋体"/>
          <w:szCs w:val="22"/>
        </w:rPr>
      </w:pPr>
      <w:r>
        <w:rPr>
          <w:rFonts w:hint="eastAsia" w:ascii="宋体" w:hAnsi="宋体" w:eastAsia="宋体"/>
          <w:szCs w:val="22"/>
        </w:rPr>
        <w:t>防护等级：不低于IP66；</w:t>
      </w:r>
    </w:p>
    <w:p w14:paraId="2927D7E5">
      <w:pPr>
        <w:pStyle w:val="13"/>
        <w:numPr>
          <w:ilvl w:val="0"/>
          <w:numId w:val="5"/>
        </w:numPr>
        <w:spacing w:after="0" w:line="360" w:lineRule="auto"/>
        <w:rPr>
          <w:rFonts w:hint="eastAsia" w:ascii="宋体" w:hAnsi="宋体" w:eastAsia="宋体"/>
          <w:szCs w:val="22"/>
        </w:rPr>
      </w:pPr>
      <w:r>
        <w:rPr>
          <w:rFonts w:hint="eastAsia" w:ascii="宋体" w:hAnsi="宋体" w:eastAsia="宋体"/>
          <w:szCs w:val="22"/>
        </w:rPr>
        <w:t>工作环境温度：-40℃～70℃；</w:t>
      </w:r>
    </w:p>
    <w:p w14:paraId="6A71586D">
      <w:pPr>
        <w:pStyle w:val="13"/>
        <w:numPr>
          <w:ilvl w:val="0"/>
          <w:numId w:val="5"/>
        </w:numPr>
        <w:spacing w:after="0" w:line="360" w:lineRule="auto"/>
        <w:rPr>
          <w:rFonts w:hint="eastAsia" w:ascii="宋体" w:hAnsi="宋体" w:eastAsia="宋体"/>
          <w:szCs w:val="22"/>
        </w:rPr>
      </w:pPr>
      <w:r>
        <w:rPr>
          <w:rFonts w:hint="eastAsia" w:ascii="宋体" w:hAnsi="宋体" w:eastAsia="宋体"/>
          <w:szCs w:val="22"/>
        </w:rPr>
        <w:t>工作电压：AC220V±20%、50HZ。</w:t>
      </w:r>
    </w:p>
    <w:p w14:paraId="02CEB20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1" w:firstLineChars="100"/>
        <w:textAlignment w:val="auto"/>
        <w:outlineLvl w:val="1"/>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（5）智慧交通网络球机</w:t>
      </w:r>
    </w:p>
    <w:p w14:paraId="4A8A1A99">
      <w:pPr>
        <w:pStyle w:val="13"/>
        <w:numPr>
          <w:ilvl w:val="0"/>
          <w:numId w:val="6"/>
        </w:numPr>
        <w:spacing w:after="0" w:line="360" w:lineRule="auto"/>
        <w:rPr>
          <w:rFonts w:hint="eastAsia" w:ascii="宋体" w:hAnsi="宋体" w:eastAsia="宋体"/>
          <w:szCs w:val="22"/>
        </w:rPr>
      </w:pPr>
      <w:r>
        <w:rPr>
          <w:rFonts w:hint="eastAsia" w:ascii="宋体" w:hAnsi="宋体" w:eastAsia="宋体"/>
          <w:szCs w:val="22"/>
        </w:rPr>
        <w:t>传感器分辨率≥2560×1440，传感器靶面≥1/1.8"，支持电动变焦，最大40倍光学变焦，16倍数字变焦，定焦5mm，变焦焦距6-240mm；</w:t>
      </w:r>
    </w:p>
    <w:p w14:paraId="1F2A3096">
      <w:pPr>
        <w:pStyle w:val="13"/>
        <w:numPr>
          <w:ilvl w:val="0"/>
          <w:numId w:val="6"/>
        </w:numPr>
        <w:spacing w:after="0" w:line="360" w:lineRule="auto"/>
        <w:rPr>
          <w:rFonts w:hint="eastAsia" w:ascii="宋体" w:hAnsi="宋体" w:eastAsia="宋体"/>
          <w:szCs w:val="22"/>
        </w:rPr>
      </w:pPr>
      <w:r>
        <w:rPr>
          <w:rFonts w:hint="eastAsia" w:ascii="宋体" w:hAnsi="宋体" w:eastAsia="宋体"/>
          <w:szCs w:val="22"/>
        </w:rPr>
        <w:t>内置≥1个CPU、GPU、NPU—体化芯片；</w:t>
      </w:r>
    </w:p>
    <w:p w14:paraId="31160846">
      <w:pPr>
        <w:pStyle w:val="13"/>
        <w:numPr>
          <w:ilvl w:val="0"/>
          <w:numId w:val="6"/>
        </w:numPr>
        <w:spacing w:after="0" w:line="360" w:lineRule="auto"/>
        <w:rPr>
          <w:rFonts w:hint="eastAsia" w:ascii="宋体" w:hAnsi="宋体" w:eastAsia="宋体"/>
          <w:szCs w:val="22"/>
        </w:rPr>
      </w:pPr>
      <w:r>
        <w:rPr>
          <w:rFonts w:hint="eastAsia" w:ascii="宋体" w:hAnsi="宋体" w:eastAsia="宋体"/>
          <w:szCs w:val="22"/>
        </w:rPr>
        <w:t>最低照度，彩色：≤0.0002lux，黑白：≤0.0001lux；内置补光灯；</w:t>
      </w:r>
    </w:p>
    <w:p w14:paraId="08A15AE8">
      <w:pPr>
        <w:pStyle w:val="13"/>
        <w:numPr>
          <w:ilvl w:val="0"/>
          <w:numId w:val="6"/>
        </w:numPr>
        <w:spacing w:after="0" w:line="360" w:lineRule="auto"/>
        <w:rPr>
          <w:rFonts w:hint="eastAsia" w:ascii="宋体" w:hAnsi="宋体" w:eastAsia="宋体"/>
          <w:szCs w:val="22"/>
        </w:rPr>
      </w:pPr>
      <w:r>
        <w:rPr>
          <w:rFonts w:hint="eastAsia" w:ascii="宋体" w:hAnsi="宋体" w:eastAsia="宋体"/>
          <w:szCs w:val="22"/>
        </w:rPr>
        <w:t>支持下面4种多算法切换运行：人脸抓拍模式、机非人模式、行为分析模式、混行模式；</w:t>
      </w:r>
    </w:p>
    <w:p w14:paraId="6D29722D">
      <w:pPr>
        <w:pStyle w:val="13"/>
        <w:numPr>
          <w:ilvl w:val="0"/>
          <w:numId w:val="6"/>
        </w:numPr>
        <w:spacing w:after="0" w:line="360" w:lineRule="auto"/>
        <w:rPr>
          <w:rFonts w:hint="eastAsia" w:ascii="宋体" w:hAnsi="宋体" w:eastAsia="宋体"/>
          <w:color w:val="auto"/>
          <w:szCs w:val="22"/>
          <w:highlight w:val="none"/>
        </w:rPr>
      </w:pPr>
      <w:r>
        <w:rPr>
          <w:rFonts w:hint="eastAsia" w:ascii="宋体" w:hAnsi="宋体" w:eastAsia="宋体"/>
          <w:color w:val="auto"/>
          <w:szCs w:val="22"/>
          <w:highlight w:val="none"/>
        </w:rPr>
        <w:t>▲具有隐私区域遮盖功能，区域个数（最大可设32个）、大小、方位可设置（提供所投产品的第三方检测机构出具的检测报告）；</w:t>
      </w:r>
    </w:p>
    <w:p w14:paraId="161D0D7C">
      <w:pPr>
        <w:pStyle w:val="13"/>
        <w:numPr>
          <w:ilvl w:val="0"/>
          <w:numId w:val="6"/>
        </w:numPr>
        <w:spacing w:after="0" w:line="360" w:lineRule="auto"/>
        <w:rPr>
          <w:rFonts w:hint="eastAsia" w:ascii="宋体" w:hAnsi="宋体" w:eastAsia="宋体"/>
          <w:color w:val="auto"/>
          <w:szCs w:val="22"/>
          <w:highlight w:val="none"/>
        </w:rPr>
      </w:pPr>
      <w:r>
        <w:rPr>
          <w:rFonts w:hint="eastAsia" w:ascii="宋体" w:hAnsi="宋体" w:eastAsia="宋体"/>
          <w:color w:val="auto"/>
          <w:szCs w:val="22"/>
          <w:highlight w:val="none"/>
        </w:rPr>
        <w:t>▲支持五个等级（特强浓雾，强浓雾，浓雾，中雾，轻雾）的团雾检测设置选项（提供所投产品的第三方检测机构出具的检测报告）；</w:t>
      </w:r>
    </w:p>
    <w:p w14:paraId="5BB2131F">
      <w:pPr>
        <w:pStyle w:val="13"/>
        <w:numPr>
          <w:ilvl w:val="0"/>
          <w:numId w:val="6"/>
        </w:numPr>
        <w:spacing w:after="0" w:line="360" w:lineRule="auto"/>
        <w:rPr>
          <w:rFonts w:hint="eastAsia" w:ascii="宋体" w:hAnsi="宋体" w:eastAsia="宋体"/>
          <w:szCs w:val="22"/>
        </w:rPr>
      </w:pPr>
      <w:r>
        <w:rPr>
          <w:rFonts w:hint="eastAsia" w:ascii="宋体" w:hAnsi="宋体" w:eastAsia="宋体"/>
          <w:szCs w:val="22"/>
        </w:rPr>
        <w:t>为满足设备在未来不同场景中的使用以及智能功能迭代，该设备需支持快速集成智能算法或应用APP，智能算法或APP可以独立升级；支持智能算法模块动态加载，加载过程中，视频业务不中断</w:t>
      </w:r>
    </w:p>
    <w:p w14:paraId="468AF568">
      <w:pPr>
        <w:pStyle w:val="13"/>
        <w:numPr>
          <w:ilvl w:val="0"/>
          <w:numId w:val="6"/>
        </w:numPr>
        <w:spacing w:after="0" w:line="360" w:lineRule="auto"/>
        <w:rPr>
          <w:rFonts w:hint="eastAsia" w:ascii="宋体" w:hAnsi="宋体" w:eastAsia="宋体"/>
          <w:szCs w:val="22"/>
        </w:rPr>
      </w:pPr>
      <w:r>
        <w:rPr>
          <w:rFonts w:hint="eastAsia" w:ascii="宋体" w:hAnsi="宋体" w:eastAsia="宋体"/>
          <w:szCs w:val="22"/>
        </w:rPr>
        <w:t>为降低设备在使用过程中的抖动性，设备需内置陀螺仪，支持陀螺仪防抖算法；</w:t>
      </w:r>
    </w:p>
    <w:p w14:paraId="36716AD4">
      <w:pPr>
        <w:pStyle w:val="13"/>
        <w:numPr>
          <w:ilvl w:val="0"/>
          <w:numId w:val="6"/>
        </w:numPr>
        <w:spacing w:after="0" w:line="360" w:lineRule="auto"/>
        <w:rPr>
          <w:rFonts w:hint="eastAsia" w:ascii="宋体" w:hAnsi="宋体" w:eastAsia="宋体"/>
          <w:szCs w:val="22"/>
        </w:rPr>
      </w:pPr>
      <w:r>
        <w:rPr>
          <w:rFonts w:hint="eastAsia" w:ascii="宋体" w:hAnsi="宋体" w:eastAsia="宋体"/>
          <w:szCs w:val="22"/>
        </w:rPr>
        <w:t>具有不少于以下接口：2个RJ45自适应以太网口、1个半双工RS485接口、2路报警输入，1路报警输出、1路音频输入，1路音频输出、1个MicroSD卡插槽、1个复位键；</w:t>
      </w:r>
    </w:p>
    <w:p w14:paraId="6C552541">
      <w:pPr>
        <w:pStyle w:val="13"/>
        <w:numPr>
          <w:ilvl w:val="0"/>
          <w:numId w:val="6"/>
        </w:numPr>
        <w:spacing w:after="0" w:line="360" w:lineRule="auto"/>
        <w:rPr>
          <w:rFonts w:hint="eastAsia" w:ascii="宋体" w:hAnsi="宋体" w:eastAsia="宋体"/>
          <w:szCs w:val="22"/>
        </w:rPr>
      </w:pPr>
      <w:r>
        <w:rPr>
          <w:rFonts w:hint="eastAsia" w:ascii="宋体" w:hAnsi="宋体" w:eastAsia="宋体"/>
          <w:szCs w:val="22"/>
        </w:rPr>
        <w:t>供电方式：AC24V；</w:t>
      </w:r>
    </w:p>
    <w:p w14:paraId="1B50A22A">
      <w:pPr>
        <w:pStyle w:val="13"/>
        <w:numPr>
          <w:ilvl w:val="0"/>
          <w:numId w:val="6"/>
        </w:numPr>
        <w:spacing w:after="0" w:line="360" w:lineRule="auto"/>
        <w:rPr>
          <w:rFonts w:hint="eastAsia" w:ascii="宋体" w:hAnsi="宋体" w:eastAsia="宋体"/>
          <w:szCs w:val="22"/>
        </w:rPr>
      </w:pPr>
      <w:r>
        <w:rPr>
          <w:rFonts w:hint="eastAsia" w:ascii="宋体" w:hAnsi="宋体" w:eastAsia="宋体"/>
          <w:szCs w:val="22"/>
        </w:rPr>
        <w:t>防护等级不低于IP67。</w:t>
      </w:r>
    </w:p>
    <w:p w14:paraId="5DBD3C4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1" w:firstLineChars="100"/>
        <w:textAlignment w:val="auto"/>
        <w:outlineLvl w:val="1"/>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（6）16路智能终端管理盒</w:t>
      </w:r>
    </w:p>
    <w:p w14:paraId="701DEFCE">
      <w:pPr>
        <w:pStyle w:val="13"/>
        <w:numPr>
          <w:ilvl w:val="0"/>
          <w:numId w:val="7"/>
        </w:numPr>
        <w:spacing w:after="0" w:line="360" w:lineRule="auto"/>
        <w:rPr>
          <w:rFonts w:hint="eastAsia" w:ascii="宋体" w:hAnsi="宋体" w:eastAsia="宋体"/>
          <w:szCs w:val="22"/>
        </w:rPr>
      </w:pPr>
      <w:r>
        <w:rPr>
          <w:rFonts w:hint="eastAsia" w:ascii="宋体" w:hAnsi="宋体" w:eastAsia="宋体"/>
          <w:szCs w:val="22"/>
        </w:rPr>
        <w:t>存储容量：可配置不少于1块4TB存储硬盘，单机存储容量最大支持不少于24TB</w:t>
      </w:r>
    </w:p>
    <w:p w14:paraId="52C7FCB9">
      <w:pPr>
        <w:pStyle w:val="13"/>
        <w:numPr>
          <w:ilvl w:val="0"/>
          <w:numId w:val="7"/>
        </w:numPr>
        <w:spacing w:after="0" w:line="360" w:lineRule="auto"/>
        <w:rPr>
          <w:rFonts w:hint="eastAsia" w:ascii="宋体" w:hAnsi="宋体" w:eastAsia="宋体"/>
          <w:szCs w:val="22"/>
        </w:rPr>
      </w:pPr>
      <w:r>
        <w:rPr>
          <w:rFonts w:hint="eastAsia" w:ascii="宋体" w:hAnsi="宋体" w:eastAsia="宋体"/>
          <w:szCs w:val="22"/>
        </w:rPr>
        <w:t>通道路：不少于16路；</w:t>
      </w:r>
    </w:p>
    <w:p w14:paraId="5816EAD8">
      <w:pPr>
        <w:pStyle w:val="13"/>
        <w:numPr>
          <w:ilvl w:val="0"/>
          <w:numId w:val="7"/>
        </w:numPr>
        <w:spacing w:after="0" w:line="360" w:lineRule="auto"/>
        <w:rPr>
          <w:rFonts w:hint="eastAsia" w:ascii="宋体" w:hAnsi="宋体" w:eastAsia="宋体"/>
          <w:szCs w:val="22"/>
        </w:rPr>
      </w:pPr>
      <w:r>
        <w:rPr>
          <w:rFonts w:hint="eastAsia" w:ascii="宋体" w:hAnsi="宋体" w:eastAsia="宋体"/>
          <w:szCs w:val="22"/>
        </w:rPr>
        <w:t>接入视频格式：H.264、H.265；</w:t>
      </w:r>
    </w:p>
    <w:p w14:paraId="31D93033">
      <w:pPr>
        <w:pStyle w:val="13"/>
        <w:numPr>
          <w:ilvl w:val="0"/>
          <w:numId w:val="7"/>
        </w:numPr>
        <w:spacing w:after="0" w:line="360" w:lineRule="auto"/>
        <w:rPr>
          <w:rFonts w:hint="eastAsia" w:ascii="宋体" w:hAnsi="宋体" w:eastAsia="宋体"/>
          <w:szCs w:val="22"/>
        </w:rPr>
      </w:pPr>
      <w:r>
        <w:rPr>
          <w:rFonts w:hint="eastAsia" w:ascii="宋体" w:hAnsi="宋体" w:eastAsia="宋体"/>
          <w:szCs w:val="22"/>
        </w:rPr>
        <w:t>接入图片格式：JPEG；</w:t>
      </w:r>
    </w:p>
    <w:p w14:paraId="63070BD7">
      <w:pPr>
        <w:pStyle w:val="13"/>
        <w:numPr>
          <w:ilvl w:val="0"/>
          <w:numId w:val="7"/>
        </w:numPr>
        <w:spacing w:after="0" w:line="360" w:lineRule="auto"/>
        <w:rPr>
          <w:rFonts w:hint="eastAsia" w:ascii="宋体" w:hAnsi="宋体" w:eastAsia="宋体"/>
          <w:szCs w:val="22"/>
        </w:rPr>
      </w:pPr>
      <w:r>
        <w:rPr>
          <w:rFonts w:hint="eastAsia" w:ascii="宋体" w:hAnsi="宋体" w:eastAsia="宋体"/>
          <w:szCs w:val="22"/>
        </w:rPr>
        <w:t>SATA接口：不少于4个内部SATA，支持1/2/3/4/6TB，一个外置eSATA</w:t>
      </w:r>
    </w:p>
    <w:p w14:paraId="6E070238">
      <w:pPr>
        <w:pStyle w:val="13"/>
        <w:numPr>
          <w:ilvl w:val="0"/>
          <w:numId w:val="7"/>
        </w:numPr>
        <w:spacing w:after="0" w:line="360" w:lineRule="auto"/>
        <w:rPr>
          <w:rFonts w:hint="eastAsia" w:ascii="宋体" w:hAnsi="宋体" w:eastAsia="宋体"/>
          <w:szCs w:val="22"/>
        </w:rPr>
      </w:pPr>
      <w:r>
        <w:rPr>
          <w:rFonts w:hint="eastAsia" w:ascii="宋体" w:hAnsi="宋体" w:eastAsia="宋体"/>
          <w:szCs w:val="22"/>
        </w:rPr>
        <w:t>视频输入：不少于支持16路1080P/30fps H264/H265解码；</w:t>
      </w:r>
    </w:p>
    <w:p w14:paraId="5129AA60">
      <w:pPr>
        <w:pStyle w:val="13"/>
        <w:numPr>
          <w:ilvl w:val="0"/>
          <w:numId w:val="7"/>
        </w:numPr>
        <w:spacing w:after="0" w:line="360" w:lineRule="auto"/>
        <w:rPr>
          <w:rFonts w:hint="eastAsia" w:ascii="宋体" w:hAnsi="宋体" w:eastAsia="宋体"/>
          <w:szCs w:val="22"/>
        </w:rPr>
      </w:pPr>
      <w:r>
        <w:rPr>
          <w:rFonts w:hint="eastAsia" w:ascii="宋体" w:hAnsi="宋体" w:eastAsia="宋体"/>
          <w:szCs w:val="22"/>
        </w:rPr>
        <w:t>视频输出：不少于1路CVBS，1路VGA，1路HDMI；</w:t>
      </w:r>
    </w:p>
    <w:p w14:paraId="6B8E01F6">
      <w:pPr>
        <w:pStyle w:val="13"/>
        <w:numPr>
          <w:ilvl w:val="0"/>
          <w:numId w:val="7"/>
        </w:numPr>
        <w:spacing w:after="0" w:line="360" w:lineRule="auto"/>
        <w:rPr>
          <w:rFonts w:hint="eastAsia" w:ascii="宋体" w:hAnsi="宋体" w:eastAsia="宋体"/>
          <w:szCs w:val="22"/>
        </w:rPr>
      </w:pPr>
      <w:r>
        <w:rPr>
          <w:rFonts w:hint="eastAsia" w:ascii="宋体" w:hAnsi="宋体" w:eastAsia="宋体"/>
          <w:szCs w:val="22"/>
        </w:rPr>
        <w:t>网络接口：不少于16个百兆网口，2个千兆网口，1个千兆光口</w:t>
      </w:r>
    </w:p>
    <w:p w14:paraId="46061A15">
      <w:pPr>
        <w:pStyle w:val="13"/>
        <w:numPr>
          <w:ilvl w:val="0"/>
          <w:numId w:val="7"/>
        </w:numPr>
        <w:spacing w:after="0" w:line="360" w:lineRule="auto"/>
        <w:rPr>
          <w:rFonts w:hint="eastAsia" w:ascii="宋体" w:hAnsi="宋体" w:eastAsia="宋体"/>
          <w:szCs w:val="22"/>
        </w:rPr>
      </w:pPr>
      <w:r>
        <w:rPr>
          <w:rFonts w:hint="eastAsia" w:ascii="宋体" w:hAnsi="宋体" w:eastAsia="宋体"/>
          <w:szCs w:val="22"/>
        </w:rPr>
        <w:t>NTP校时：支持NTP网络校时；</w:t>
      </w:r>
    </w:p>
    <w:p w14:paraId="73E6E64B">
      <w:pPr>
        <w:pStyle w:val="13"/>
        <w:numPr>
          <w:ilvl w:val="0"/>
          <w:numId w:val="7"/>
        </w:numPr>
        <w:spacing w:after="0" w:line="360" w:lineRule="auto"/>
        <w:rPr>
          <w:rFonts w:hint="eastAsia" w:ascii="宋体" w:hAnsi="宋体" w:eastAsia="宋体"/>
          <w:szCs w:val="22"/>
        </w:rPr>
      </w:pPr>
      <w:r>
        <w:rPr>
          <w:rFonts w:hint="eastAsia" w:ascii="宋体" w:hAnsi="宋体" w:eastAsia="宋体"/>
          <w:szCs w:val="22"/>
        </w:rPr>
        <w:t>防水等级：不低于IP41；</w:t>
      </w:r>
    </w:p>
    <w:p w14:paraId="4ABA9C85">
      <w:pPr>
        <w:pStyle w:val="13"/>
        <w:numPr>
          <w:ilvl w:val="0"/>
          <w:numId w:val="7"/>
        </w:numPr>
        <w:spacing w:after="0" w:line="360" w:lineRule="auto"/>
        <w:rPr>
          <w:rFonts w:hint="eastAsia" w:ascii="宋体" w:hAnsi="宋体" w:eastAsia="宋体"/>
          <w:szCs w:val="22"/>
        </w:rPr>
      </w:pPr>
      <w:r>
        <w:rPr>
          <w:rFonts w:hint="eastAsia" w:ascii="宋体" w:hAnsi="宋体" w:eastAsia="宋体"/>
          <w:szCs w:val="22"/>
        </w:rPr>
        <w:t>电压：DC12V±10%；</w:t>
      </w:r>
    </w:p>
    <w:p w14:paraId="1CD56AD3">
      <w:pPr>
        <w:pStyle w:val="13"/>
        <w:numPr>
          <w:ilvl w:val="0"/>
          <w:numId w:val="7"/>
        </w:numPr>
        <w:spacing w:after="0" w:line="360" w:lineRule="auto"/>
        <w:rPr>
          <w:rFonts w:hint="eastAsia" w:ascii="宋体" w:hAnsi="宋体" w:eastAsia="宋体"/>
          <w:szCs w:val="22"/>
        </w:rPr>
      </w:pPr>
      <w:r>
        <w:rPr>
          <w:rFonts w:hint="eastAsia" w:ascii="宋体" w:hAnsi="宋体" w:eastAsia="宋体"/>
          <w:szCs w:val="22"/>
        </w:rPr>
        <w:t>温度：-40℃~70℃。</w:t>
      </w:r>
    </w:p>
    <w:p w14:paraId="01E3DC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1" w:firstLineChars="100"/>
        <w:textAlignment w:val="auto"/>
        <w:outlineLvl w:val="1"/>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（7）移动违停球</w:t>
      </w:r>
    </w:p>
    <w:p w14:paraId="051746E2">
      <w:pPr>
        <w:pStyle w:val="13"/>
        <w:numPr>
          <w:ilvl w:val="0"/>
          <w:numId w:val="8"/>
        </w:numPr>
        <w:spacing w:after="0" w:line="360" w:lineRule="auto"/>
        <w:rPr>
          <w:rFonts w:hint="eastAsia" w:ascii="宋体" w:hAnsi="宋体" w:eastAsia="宋体"/>
          <w:szCs w:val="22"/>
        </w:rPr>
      </w:pPr>
      <w:r>
        <w:rPr>
          <w:rFonts w:hint="eastAsia" w:ascii="宋体" w:hAnsi="宋体" w:eastAsia="宋体"/>
          <w:szCs w:val="22"/>
        </w:rPr>
        <w:t>传感器分辨率≥2560×1440，传感器靶面≥1/1.8"，不低于32倍光学变倍，焦距范围不低于6mm~192mm ；</w:t>
      </w:r>
    </w:p>
    <w:p w14:paraId="49AB1262">
      <w:pPr>
        <w:pStyle w:val="13"/>
        <w:numPr>
          <w:ilvl w:val="0"/>
          <w:numId w:val="8"/>
        </w:numPr>
        <w:spacing w:after="0" w:line="360" w:lineRule="auto"/>
        <w:rPr>
          <w:rFonts w:hint="eastAsia" w:ascii="宋体" w:hAnsi="宋体" w:eastAsia="宋体"/>
          <w:szCs w:val="22"/>
        </w:rPr>
      </w:pPr>
      <w:r>
        <w:rPr>
          <w:rFonts w:hint="eastAsia" w:ascii="宋体" w:hAnsi="宋体" w:eastAsia="宋体"/>
          <w:szCs w:val="22"/>
        </w:rPr>
        <w:t>内置≥1个 CPU、GPU、NPU—体化芯片；</w:t>
      </w:r>
    </w:p>
    <w:p w14:paraId="30B9A6C1">
      <w:pPr>
        <w:pStyle w:val="13"/>
        <w:numPr>
          <w:ilvl w:val="0"/>
          <w:numId w:val="8"/>
        </w:numPr>
        <w:spacing w:after="0" w:line="360" w:lineRule="auto"/>
        <w:rPr>
          <w:rFonts w:hint="eastAsia" w:ascii="宋体" w:hAnsi="宋体" w:eastAsia="宋体"/>
          <w:szCs w:val="22"/>
        </w:rPr>
      </w:pPr>
      <w:r>
        <w:rPr>
          <w:rFonts w:hint="eastAsia" w:ascii="宋体" w:hAnsi="宋体" w:eastAsia="宋体"/>
          <w:szCs w:val="22"/>
        </w:rPr>
        <w:t>内置红外和白光补光灯，红外补光距离≥200m；</w:t>
      </w:r>
    </w:p>
    <w:p w14:paraId="40DE6D27">
      <w:pPr>
        <w:pStyle w:val="13"/>
        <w:numPr>
          <w:ilvl w:val="0"/>
          <w:numId w:val="8"/>
        </w:numPr>
        <w:spacing w:after="0" w:line="360" w:lineRule="auto"/>
        <w:rPr>
          <w:rFonts w:hint="eastAsia" w:ascii="宋体" w:hAnsi="宋体" w:eastAsia="宋体"/>
          <w:szCs w:val="22"/>
        </w:rPr>
      </w:pPr>
      <w:r>
        <w:rPr>
          <w:rFonts w:hint="eastAsia" w:ascii="宋体" w:hAnsi="宋体" w:eastAsia="宋体"/>
          <w:szCs w:val="22"/>
        </w:rPr>
        <w:t>支持违法停车行为检测功能，停车时间可自定义设定，捕获率≥99%,准确率≥99%；</w:t>
      </w:r>
    </w:p>
    <w:p w14:paraId="6CDCD63A">
      <w:pPr>
        <w:pStyle w:val="13"/>
        <w:numPr>
          <w:ilvl w:val="0"/>
          <w:numId w:val="8"/>
        </w:numPr>
        <w:spacing w:after="0" w:line="360" w:lineRule="auto"/>
        <w:rPr>
          <w:rFonts w:hint="eastAsia" w:ascii="宋体" w:hAnsi="宋体" w:eastAsia="宋体"/>
          <w:szCs w:val="22"/>
        </w:rPr>
      </w:pPr>
      <w:r>
        <w:rPr>
          <w:rFonts w:hint="eastAsia" w:ascii="宋体" w:hAnsi="宋体" w:eastAsia="宋体"/>
          <w:szCs w:val="22"/>
        </w:rPr>
        <w:t>支持4种多算法切换运行：人脸抓拍模式、车辆抓拍模式、行为分析模式、混合并行抓拍模式;</w:t>
      </w:r>
    </w:p>
    <w:p w14:paraId="4EC76AA9">
      <w:pPr>
        <w:pStyle w:val="13"/>
        <w:numPr>
          <w:ilvl w:val="0"/>
          <w:numId w:val="8"/>
        </w:numPr>
        <w:spacing w:after="0" w:line="360" w:lineRule="auto"/>
        <w:rPr>
          <w:rFonts w:hint="eastAsia" w:ascii="宋体" w:hAnsi="宋体" w:eastAsia="宋体"/>
          <w:szCs w:val="22"/>
        </w:rPr>
      </w:pPr>
      <w:r>
        <w:rPr>
          <w:rFonts w:hint="eastAsia" w:ascii="宋体" w:hAnsi="宋体" w:eastAsia="宋体"/>
          <w:szCs w:val="22"/>
        </w:rPr>
        <w:t>支持自动识别背光、运动速度、雾（雨）天、正常等场景，并能在＜1s的时间内快速自适应调整相应的图像参数；</w:t>
      </w:r>
    </w:p>
    <w:p w14:paraId="0ADCF6E3">
      <w:pPr>
        <w:pStyle w:val="13"/>
        <w:numPr>
          <w:ilvl w:val="0"/>
          <w:numId w:val="8"/>
        </w:numPr>
        <w:spacing w:after="0" w:line="360" w:lineRule="auto"/>
        <w:rPr>
          <w:rFonts w:hint="eastAsia" w:ascii="宋体" w:hAnsi="宋体" w:eastAsia="宋体"/>
          <w:szCs w:val="22"/>
        </w:rPr>
      </w:pPr>
      <w:r>
        <w:rPr>
          <w:rFonts w:hint="eastAsia" w:ascii="宋体" w:hAnsi="宋体" w:eastAsia="宋体"/>
          <w:szCs w:val="22"/>
        </w:rPr>
        <w:t>具有license管理功能，可根据license启用不同的智能算法；</w:t>
      </w:r>
    </w:p>
    <w:p w14:paraId="3411E9E1">
      <w:pPr>
        <w:pStyle w:val="13"/>
        <w:numPr>
          <w:ilvl w:val="0"/>
          <w:numId w:val="8"/>
        </w:numPr>
        <w:spacing w:after="0" w:line="360" w:lineRule="auto"/>
        <w:rPr>
          <w:rFonts w:hint="eastAsia" w:ascii="宋体" w:hAnsi="宋体" w:eastAsia="宋体"/>
          <w:szCs w:val="22"/>
        </w:rPr>
      </w:pPr>
      <w:r>
        <w:rPr>
          <w:rFonts w:hint="eastAsia" w:ascii="宋体" w:hAnsi="宋体" w:eastAsia="宋体"/>
          <w:szCs w:val="22"/>
        </w:rPr>
        <w:t>设备内置陀螺仪，支持陀螺仪防抖算法，降低图像抖动；</w:t>
      </w:r>
    </w:p>
    <w:p w14:paraId="344C7DCB">
      <w:pPr>
        <w:pStyle w:val="13"/>
        <w:numPr>
          <w:ilvl w:val="0"/>
          <w:numId w:val="8"/>
        </w:numPr>
        <w:spacing w:after="0" w:line="360" w:lineRule="auto"/>
        <w:rPr>
          <w:rFonts w:hint="eastAsia" w:ascii="宋体" w:hAnsi="宋体" w:eastAsia="宋体"/>
          <w:szCs w:val="22"/>
          <w:highlight w:val="none"/>
        </w:rPr>
      </w:pPr>
      <w:r>
        <w:rPr>
          <w:rFonts w:hint="eastAsia" w:ascii="宋体" w:hAnsi="宋体" w:eastAsia="宋体"/>
          <w:szCs w:val="22"/>
          <w:highlight w:val="none"/>
        </w:rPr>
        <w:t>▲支持同时检测并框选出监视画面中不少于40辆机动车辆（提供所投产品的第三方检测机构出具的检测报告）；</w:t>
      </w:r>
    </w:p>
    <w:p w14:paraId="41130F80">
      <w:pPr>
        <w:pStyle w:val="13"/>
        <w:numPr>
          <w:ilvl w:val="0"/>
          <w:numId w:val="8"/>
        </w:numPr>
        <w:spacing w:after="0" w:line="360" w:lineRule="auto"/>
        <w:rPr>
          <w:rFonts w:hint="eastAsia" w:ascii="宋体" w:hAnsi="宋体" w:eastAsia="宋体"/>
          <w:szCs w:val="22"/>
          <w:highlight w:val="none"/>
        </w:rPr>
      </w:pPr>
      <w:r>
        <w:rPr>
          <w:rFonts w:hint="eastAsia" w:ascii="宋体" w:hAnsi="宋体" w:eastAsia="宋体"/>
          <w:szCs w:val="22"/>
          <w:highlight w:val="none"/>
        </w:rPr>
        <w:t>▲支持生态算法（业界标准rpm包格式+签名组成的tar包）的安装、启用、停用、卸载管理，并支持算法包安装时的完整性校验（提供所投产品的第三方检测机构出具的检测报告）；</w:t>
      </w:r>
    </w:p>
    <w:p w14:paraId="1C2F929A">
      <w:pPr>
        <w:pStyle w:val="13"/>
        <w:numPr>
          <w:ilvl w:val="0"/>
          <w:numId w:val="8"/>
        </w:numPr>
        <w:spacing w:after="0" w:line="360" w:lineRule="auto"/>
        <w:rPr>
          <w:rFonts w:hint="eastAsia" w:ascii="宋体" w:hAnsi="宋体" w:eastAsia="宋体"/>
          <w:szCs w:val="22"/>
        </w:rPr>
      </w:pPr>
      <w:r>
        <w:rPr>
          <w:rFonts w:hint="eastAsia" w:ascii="宋体" w:hAnsi="宋体" w:eastAsia="宋体"/>
          <w:szCs w:val="22"/>
        </w:rPr>
        <w:t>供电方式：在AC24V±30%范围内正常工作；</w:t>
      </w:r>
    </w:p>
    <w:p w14:paraId="24D91F2C">
      <w:pPr>
        <w:pStyle w:val="13"/>
        <w:numPr>
          <w:ilvl w:val="0"/>
          <w:numId w:val="8"/>
        </w:numPr>
        <w:spacing w:after="0" w:line="360" w:lineRule="auto"/>
        <w:rPr>
          <w:rFonts w:hint="eastAsia" w:ascii="宋体" w:hAnsi="宋体" w:eastAsia="宋体"/>
          <w:szCs w:val="22"/>
        </w:rPr>
      </w:pPr>
      <w:r>
        <w:rPr>
          <w:rFonts w:hint="eastAsia" w:ascii="宋体" w:hAnsi="宋体" w:eastAsia="宋体"/>
          <w:szCs w:val="22"/>
        </w:rPr>
        <w:t>防护等级不低于：IP66、IK10；</w:t>
      </w:r>
    </w:p>
    <w:p w14:paraId="065D400D">
      <w:pPr>
        <w:pStyle w:val="13"/>
        <w:numPr>
          <w:ilvl w:val="0"/>
          <w:numId w:val="8"/>
        </w:numPr>
        <w:spacing w:after="0" w:line="360" w:lineRule="auto"/>
        <w:rPr>
          <w:rFonts w:hint="eastAsia" w:ascii="宋体" w:hAnsi="宋体" w:eastAsia="宋体"/>
          <w:szCs w:val="22"/>
        </w:rPr>
      </w:pPr>
      <w:r>
        <w:rPr>
          <w:rFonts w:hint="eastAsia" w:ascii="宋体" w:hAnsi="宋体" w:eastAsia="宋体"/>
          <w:szCs w:val="22"/>
        </w:rPr>
        <w:t>电源功耗：最大功耗＜18W。</w:t>
      </w:r>
    </w:p>
    <w:p w14:paraId="1A0CB1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1" w:firstLineChars="100"/>
        <w:textAlignment w:val="auto"/>
        <w:outlineLvl w:val="1"/>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（8）道路交通信号控制机</w:t>
      </w:r>
    </w:p>
    <w:p w14:paraId="602E32C7">
      <w:pPr>
        <w:pStyle w:val="13"/>
        <w:numPr>
          <w:ilvl w:val="0"/>
          <w:numId w:val="9"/>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相位数：需支持≥16主相位+16跟随相位</w:t>
      </w:r>
    </w:p>
    <w:p w14:paraId="0F5C0DBE">
      <w:pPr>
        <w:pStyle w:val="13"/>
        <w:numPr>
          <w:ilvl w:val="0"/>
          <w:numId w:val="9"/>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灯控输出：灯控输出≥44路输出，单通道负载800W</w:t>
      </w:r>
    </w:p>
    <w:p w14:paraId="2025A606">
      <w:pPr>
        <w:pStyle w:val="13"/>
        <w:numPr>
          <w:ilvl w:val="0"/>
          <w:numId w:val="9"/>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外部输入：外部输入≥8路行人按钮输入</w:t>
      </w:r>
    </w:p>
    <w:p w14:paraId="1C38ACE7">
      <w:pPr>
        <w:pStyle w:val="13"/>
        <w:numPr>
          <w:ilvl w:val="0"/>
          <w:numId w:val="9"/>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无线接入：无线接入需支持4G模块扩展接入</w:t>
      </w:r>
    </w:p>
    <w:p w14:paraId="2C630B76">
      <w:pPr>
        <w:pStyle w:val="13"/>
        <w:numPr>
          <w:ilvl w:val="0"/>
          <w:numId w:val="9"/>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信号机通信协议应符合GB 25280-2016《道路交通信号控制机》中附录A的要求；</w:t>
      </w:r>
    </w:p>
    <w:p w14:paraId="2B7F21C1">
      <w:pPr>
        <w:pStyle w:val="13"/>
        <w:numPr>
          <w:ilvl w:val="0"/>
          <w:numId w:val="9"/>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信号机应满足NTCIP通讯协议的体系结构，对NTCIP协议通讯方式的主要协议提供支持；</w:t>
      </w:r>
    </w:p>
    <w:p w14:paraId="52A4E109">
      <w:pPr>
        <w:pStyle w:val="13"/>
        <w:numPr>
          <w:ilvl w:val="0"/>
          <w:numId w:val="9"/>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信号机软件应符合国家标准GB/T 20999-2017《交通信号控制机与上位机间的数据通信协议》的体系结构，支持标准所定义的通讯方式及相关对象；</w:t>
      </w:r>
    </w:p>
    <w:p w14:paraId="3A6F3E9D">
      <w:pPr>
        <w:pStyle w:val="13"/>
        <w:numPr>
          <w:ilvl w:val="0"/>
          <w:numId w:val="9"/>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支持接入电子警察，实时接收电子警察采集到的到达离开时间、车型、车牌、统计车道级和转向级交通流量数据，并应用于信号机协调控制；</w:t>
      </w:r>
    </w:p>
    <w:p w14:paraId="1E877A5B">
      <w:pPr>
        <w:pStyle w:val="13"/>
        <w:numPr>
          <w:ilvl w:val="0"/>
          <w:numId w:val="9"/>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支持接入视频车检器并接收数据，可按固定间隔或信控周期获取每个车道的流量、平均车速、平均车头时距、时间占有率、排队长度数据；</w:t>
      </w:r>
    </w:p>
    <w:p w14:paraId="0C998986">
      <w:pPr>
        <w:pStyle w:val="13"/>
        <w:numPr>
          <w:ilvl w:val="0"/>
          <w:numId w:val="9"/>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支持无缆线绿波协调控制功能，可利用信号机自身的时钟、通过设定相位差实现不同路口之间的离线协调，且支持自动按照时间段切换协调方案；</w:t>
      </w:r>
    </w:p>
    <w:p w14:paraId="1C5D04FD">
      <w:pPr>
        <w:pStyle w:val="13"/>
        <w:numPr>
          <w:ilvl w:val="0"/>
          <w:numId w:val="9"/>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支持公交车辆优先功能，可接入RFID设备并检测相应的公交车辆，当公交车接近路口时信号机通过红灯早断、绿灯延长、插入相位的方式执行公交优先，支持用户自定义优先方式；</w:t>
      </w:r>
    </w:p>
    <w:p w14:paraId="5C50F141">
      <w:pPr>
        <w:pStyle w:val="13"/>
        <w:numPr>
          <w:ilvl w:val="0"/>
          <w:numId w:val="9"/>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支持自适应感应控制，在自适应感应控制方案中，动态调整最大绿时长；</w:t>
      </w:r>
    </w:p>
    <w:p w14:paraId="3FD10D2D">
      <w:pPr>
        <w:pStyle w:val="13"/>
        <w:numPr>
          <w:ilvl w:val="0"/>
          <w:numId w:val="9"/>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支持潮汐车道控制功能，可按参数配置（执行时段、潮汐车道通行方向、清空时间）完成潮汐车道方向定时切换，支持人工实时切换方案，支持进行潮汐车道状态监控；</w:t>
      </w:r>
    </w:p>
    <w:p w14:paraId="5D30BA47">
      <w:pPr>
        <w:pStyle w:val="13"/>
        <w:numPr>
          <w:ilvl w:val="0"/>
          <w:numId w:val="9"/>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本地可自定义组合逻辑控制:支持参与运算的数据有相位状态、控制状态、控制模式、检测器状态、交通流统计数据;支持各数据的与、或、非运算，交通流统计数据支持比较运算(大于、小于、等于、大于等于、小于等于);支持执行的控制动作有切换方案、延长相位、修改控制模式、插入/取消相位、执行时钟同步、故障检测启动/关闭、修改信号机运行参数。</w:t>
      </w:r>
    </w:p>
    <w:p w14:paraId="1495ABAB">
      <w:pPr>
        <w:pStyle w:val="13"/>
        <w:numPr>
          <w:ilvl w:val="0"/>
          <w:numId w:val="9"/>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相域控制:信号机支持同一时段表中环模式方案和相位阶段模式方案的切换，该功能下控制模式支持定周期控制、协调控制和感应控制。</w:t>
      </w:r>
    </w:p>
    <w:p w14:paraId="1160C958">
      <w:pPr>
        <w:pStyle w:val="13"/>
        <w:numPr>
          <w:ilvl w:val="0"/>
          <w:numId w:val="9"/>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可编程相位控制:信号机可以对当前周期中正在放行和未放行的阶段执行延长时间、缩减时间、插入阶段等操作。</w:t>
      </w:r>
    </w:p>
    <w:p w14:paraId="4F0492F7">
      <w:pPr>
        <w:pStyle w:val="13"/>
        <w:numPr>
          <w:ilvl w:val="0"/>
          <w:numId w:val="9"/>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信号机内置 WEB服务,并可通过Web 对当前路口的三维路口模型进行实时展示。信号机支持在WEB三维路口模型图形化界面中实时展示灯态信息,可通过图形化配置路口方案,包括渠化信息(环岛、二次过街、可变车道、潮汐车道等特殊路口的配置)、检测器、信号灯连接关系、配时方案与时段信息等。</w:t>
      </w:r>
    </w:p>
    <w:p w14:paraId="198CCAC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1" w:firstLineChars="100"/>
        <w:textAlignment w:val="auto"/>
        <w:outlineLvl w:val="1"/>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（9）400灯盘塑壳单8满屏竖装机动车信号灯</w:t>
      </w:r>
    </w:p>
    <w:p w14:paraId="2FDBC90C">
      <w:pPr>
        <w:pStyle w:val="13"/>
        <w:keepNext w:val="0"/>
        <w:keepLines w:val="0"/>
        <w:pageBreakBefore w:val="0"/>
        <w:widowControl w:val="0"/>
        <w:numPr>
          <w:ilvl w:val="0"/>
          <w:numId w:val="10"/>
        </w:numPr>
        <w:kinsoku/>
        <w:wordWrap/>
        <w:overflowPunct/>
        <w:topLinePunct w:val="0"/>
        <w:autoSpaceDE/>
        <w:autoSpaceDN/>
        <w:bidi w:val="0"/>
        <w:adjustRightInd/>
        <w:snapToGrid/>
        <w:spacing w:line="360" w:lineRule="auto"/>
        <w:ind w:left="363" w:hanging="363"/>
        <w:jc w:val="both"/>
        <w:textAlignment w:val="auto"/>
        <w:rPr>
          <w:rFonts w:hint="eastAsia" w:ascii="宋体" w:hAnsi="宋体" w:eastAsia="宋体"/>
          <w:sz w:val="24"/>
          <w:szCs w:val="28"/>
          <w:lang w:val="en-US" w:eastAsia="zh-CN"/>
        </w:rPr>
      </w:pPr>
      <w:r>
        <w:rPr>
          <w:rFonts w:hint="eastAsia" w:ascii="宋体" w:hAnsi="宋体" w:eastAsia="宋体"/>
          <w:sz w:val="24"/>
          <w:szCs w:val="28"/>
          <w:lang w:val="en-US" w:eastAsia="zh-CN"/>
        </w:rPr>
        <w:t>产品面罩规格 Φ400mm 面罩材质 玻璃</w:t>
      </w:r>
    </w:p>
    <w:p w14:paraId="49CA47E8">
      <w:pPr>
        <w:pStyle w:val="13"/>
        <w:numPr>
          <w:ilvl w:val="0"/>
          <w:numId w:val="10"/>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外壳材质 表面处理 黑色喷塑哑光</w:t>
      </w:r>
    </w:p>
    <w:p w14:paraId="428FEA07">
      <w:pPr>
        <w:pStyle w:val="13"/>
        <w:numPr>
          <w:ilvl w:val="0"/>
          <w:numId w:val="10"/>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遮沿帽檐 400帽檐长度40cm，0.45镀锌板黑色喷塑；</w:t>
      </w:r>
    </w:p>
    <w:p w14:paraId="41186971">
      <w:pPr>
        <w:pStyle w:val="13"/>
        <w:numPr>
          <w:ilvl w:val="0"/>
          <w:numId w:val="10"/>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工作电压 AC176～264V，50HZ 功率≤20W</w:t>
      </w:r>
    </w:p>
    <w:p w14:paraId="3859FCF7">
      <w:pPr>
        <w:pStyle w:val="13"/>
        <w:numPr>
          <w:ilvl w:val="0"/>
          <w:numId w:val="10"/>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绝缘电阻 ≥500MΩ 介电强度    ≥1440V</w:t>
      </w:r>
    </w:p>
    <w:p w14:paraId="47C5AB67">
      <w:pPr>
        <w:pStyle w:val="13"/>
        <w:numPr>
          <w:ilvl w:val="0"/>
          <w:numId w:val="10"/>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中心光强 400cd ~ 1000cd</w:t>
      </w:r>
    </w:p>
    <w:p w14:paraId="12B0B616">
      <w:pPr>
        <w:pStyle w:val="13"/>
        <w:numPr>
          <w:ilvl w:val="0"/>
          <w:numId w:val="10"/>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LED数量 信号灯：红156，黄170，绿156；倒计时：红98，绿98</w:t>
      </w:r>
    </w:p>
    <w:p w14:paraId="6AE5147C">
      <w:pPr>
        <w:pStyle w:val="13"/>
        <w:numPr>
          <w:ilvl w:val="0"/>
          <w:numId w:val="10"/>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LED 直径 Φ5mm 单管电流 &lt; 18mA</w:t>
      </w:r>
    </w:p>
    <w:p w14:paraId="694FF8FE">
      <w:pPr>
        <w:pStyle w:val="13"/>
        <w:numPr>
          <w:ilvl w:val="0"/>
          <w:numId w:val="10"/>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LED寿命 ≥70000小时</w:t>
      </w:r>
    </w:p>
    <w:p w14:paraId="56BDF8D4">
      <w:pPr>
        <w:pStyle w:val="13"/>
        <w:numPr>
          <w:ilvl w:val="0"/>
          <w:numId w:val="10"/>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LED波长 红：625 nm黄：590 nm绿：505 nm</w:t>
      </w:r>
    </w:p>
    <w:p w14:paraId="0D7A6DBF">
      <w:pPr>
        <w:pStyle w:val="13"/>
        <w:numPr>
          <w:ilvl w:val="0"/>
          <w:numId w:val="10"/>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可视距离 &gt;450m 可视角度 &gt;30°</w:t>
      </w:r>
    </w:p>
    <w:p w14:paraId="0E006299">
      <w:pPr>
        <w:pStyle w:val="13"/>
        <w:numPr>
          <w:ilvl w:val="0"/>
          <w:numId w:val="10"/>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倒计时 黄灯嵌入单8倒计时</w:t>
      </w:r>
    </w:p>
    <w:p w14:paraId="041BD412">
      <w:pPr>
        <w:pStyle w:val="13"/>
        <w:numPr>
          <w:ilvl w:val="0"/>
          <w:numId w:val="10"/>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计时方式 学习/触发/RS485通信</w:t>
      </w:r>
    </w:p>
    <w:p w14:paraId="75D23B91">
      <w:pPr>
        <w:pStyle w:val="13"/>
        <w:numPr>
          <w:ilvl w:val="0"/>
          <w:numId w:val="10"/>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工作温度 -40 ~ +85℃ 相对湿度 ≤93%</w:t>
      </w:r>
    </w:p>
    <w:p w14:paraId="4E7C7930">
      <w:pPr>
        <w:pStyle w:val="13"/>
        <w:numPr>
          <w:ilvl w:val="0"/>
          <w:numId w:val="10"/>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保存环境 0~50℃，40~60%RH</w:t>
      </w:r>
    </w:p>
    <w:p w14:paraId="55E98F39">
      <w:pPr>
        <w:pStyle w:val="13"/>
        <w:numPr>
          <w:ilvl w:val="0"/>
          <w:numId w:val="10"/>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防护等级 IP53</w:t>
      </w:r>
    </w:p>
    <w:p w14:paraId="1097E020">
      <w:pPr>
        <w:pStyle w:val="13"/>
        <w:numPr>
          <w:ilvl w:val="0"/>
          <w:numId w:val="10"/>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 xml:space="preserve"> 毛重  竖装≤30KG</w:t>
      </w:r>
    </w:p>
    <w:p w14:paraId="1EB0B7BE">
      <w:pPr>
        <w:pStyle w:val="13"/>
        <w:keepNext w:val="0"/>
        <w:keepLines w:val="0"/>
        <w:pageBreakBefore w:val="0"/>
        <w:widowControl w:val="0"/>
        <w:numPr>
          <w:ilvl w:val="0"/>
          <w:numId w:val="10"/>
        </w:numPr>
        <w:kinsoku/>
        <w:wordWrap/>
        <w:overflowPunct/>
        <w:topLinePunct w:val="0"/>
        <w:autoSpaceDE/>
        <w:autoSpaceDN/>
        <w:bidi w:val="0"/>
        <w:adjustRightInd/>
        <w:snapToGrid/>
        <w:spacing w:line="360" w:lineRule="auto"/>
        <w:ind w:left="363" w:hanging="363"/>
        <w:jc w:val="both"/>
        <w:textAlignment w:val="auto"/>
        <w:rPr>
          <w:rFonts w:hint="eastAsia" w:ascii="宋体" w:hAnsi="宋体" w:eastAsia="宋体"/>
          <w:sz w:val="24"/>
          <w:szCs w:val="28"/>
          <w:lang w:val="en-US" w:eastAsia="zh-CN"/>
        </w:rPr>
      </w:pPr>
      <w:r>
        <w:rPr>
          <w:rFonts w:hint="eastAsia" w:ascii="宋体" w:hAnsi="宋体" w:eastAsia="宋体"/>
          <w:sz w:val="24"/>
          <w:szCs w:val="28"/>
          <w:lang w:val="en-US" w:eastAsia="zh-CN"/>
        </w:rPr>
        <w:t>参考标准 信号灯GB14887-2011 倒计时GAT508-2014</w:t>
      </w:r>
    </w:p>
    <w:p w14:paraId="6D1DDD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1" w:firstLineChars="100"/>
        <w:textAlignment w:val="auto"/>
        <w:outlineLvl w:val="1"/>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（10）400灯盘塑壳单8左转竖装机动车信号灯</w:t>
      </w:r>
    </w:p>
    <w:p w14:paraId="3922991E">
      <w:pPr>
        <w:pStyle w:val="13"/>
        <w:keepNext w:val="0"/>
        <w:keepLines w:val="0"/>
        <w:pageBreakBefore w:val="0"/>
        <w:widowControl w:val="0"/>
        <w:numPr>
          <w:ilvl w:val="0"/>
          <w:numId w:val="11"/>
        </w:numPr>
        <w:kinsoku/>
        <w:wordWrap/>
        <w:overflowPunct/>
        <w:topLinePunct w:val="0"/>
        <w:autoSpaceDE/>
        <w:autoSpaceDN/>
        <w:bidi w:val="0"/>
        <w:adjustRightInd/>
        <w:snapToGrid/>
        <w:spacing w:line="360" w:lineRule="auto"/>
        <w:ind w:left="363" w:hanging="363"/>
        <w:jc w:val="both"/>
        <w:textAlignment w:val="auto"/>
        <w:rPr>
          <w:rFonts w:hint="eastAsia" w:ascii="宋体" w:hAnsi="宋体" w:eastAsia="宋体"/>
          <w:sz w:val="24"/>
          <w:szCs w:val="28"/>
          <w:lang w:val="en-US" w:eastAsia="zh-CN"/>
        </w:rPr>
      </w:pPr>
      <w:r>
        <w:rPr>
          <w:rFonts w:hint="eastAsia" w:ascii="宋体" w:hAnsi="宋体" w:eastAsia="宋体"/>
          <w:sz w:val="24"/>
          <w:szCs w:val="28"/>
          <w:lang w:val="en-US" w:eastAsia="zh-CN"/>
        </w:rPr>
        <w:t>产品面罩规格 Φ400mm 面罩材质 玻璃</w:t>
      </w:r>
    </w:p>
    <w:p w14:paraId="62AC6302">
      <w:pPr>
        <w:pStyle w:val="13"/>
        <w:numPr>
          <w:ilvl w:val="0"/>
          <w:numId w:val="11"/>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外壳材质 表面处理 黑色喷塑哑光</w:t>
      </w:r>
    </w:p>
    <w:p w14:paraId="2172E2AA">
      <w:pPr>
        <w:pStyle w:val="13"/>
        <w:numPr>
          <w:ilvl w:val="0"/>
          <w:numId w:val="11"/>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遮沿帽檐 400帽檐长度40cm，0.45镀锌板黑色喷塑，接受下单时定制；</w:t>
      </w:r>
    </w:p>
    <w:p w14:paraId="5253E0BB">
      <w:pPr>
        <w:pStyle w:val="13"/>
        <w:numPr>
          <w:ilvl w:val="0"/>
          <w:numId w:val="11"/>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工作电压 AC176～264V，50HZ 功率≤20W</w:t>
      </w:r>
    </w:p>
    <w:p w14:paraId="44F3F3C0">
      <w:pPr>
        <w:pStyle w:val="13"/>
        <w:numPr>
          <w:ilvl w:val="0"/>
          <w:numId w:val="11"/>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绝缘电阻 ≥500MΩ 介电强度    ≥1440V</w:t>
      </w:r>
    </w:p>
    <w:p w14:paraId="2587F87D">
      <w:pPr>
        <w:pStyle w:val="13"/>
        <w:numPr>
          <w:ilvl w:val="0"/>
          <w:numId w:val="11"/>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中心亮度 5000 ~15000 cd/m2</w:t>
      </w:r>
    </w:p>
    <w:p w14:paraId="1E6BDC66">
      <w:pPr>
        <w:pStyle w:val="13"/>
        <w:numPr>
          <w:ilvl w:val="0"/>
          <w:numId w:val="11"/>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LED数量 信号灯：红90，黄90，绿90；倒计时：红98，绿98</w:t>
      </w:r>
    </w:p>
    <w:p w14:paraId="08DF1CB7">
      <w:pPr>
        <w:pStyle w:val="13"/>
        <w:numPr>
          <w:ilvl w:val="0"/>
          <w:numId w:val="11"/>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LED 直径 Φ5mm 单管电流 &lt; 18mA</w:t>
      </w:r>
    </w:p>
    <w:p w14:paraId="57AF8DDE">
      <w:pPr>
        <w:pStyle w:val="13"/>
        <w:numPr>
          <w:ilvl w:val="0"/>
          <w:numId w:val="11"/>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LED寿命 ≥70000小时</w:t>
      </w:r>
    </w:p>
    <w:p w14:paraId="0A50E585">
      <w:pPr>
        <w:pStyle w:val="13"/>
        <w:numPr>
          <w:ilvl w:val="0"/>
          <w:numId w:val="11"/>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LED波长 红：625 nm黄：590 nm绿：505 nm</w:t>
      </w:r>
    </w:p>
    <w:p w14:paraId="5181DA42">
      <w:pPr>
        <w:pStyle w:val="13"/>
        <w:numPr>
          <w:ilvl w:val="0"/>
          <w:numId w:val="11"/>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可视距离 &gt;450m 可视角度 &gt;30°</w:t>
      </w:r>
    </w:p>
    <w:p w14:paraId="45ECC265">
      <w:pPr>
        <w:pStyle w:val="13"/>
        <w:numPr>
          <w:ilvl w:val="0"/>
          <w:numId w:val="11"/>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倒计时 黄灯嵌入单8倒计时</w:t>
      </w:r>
    </w:p>
    <w:p w14:paraId="75DC9190">
      <w:pPr>
        <w:pStyle w:val="13"/>
        <w:numPr>
          <w:ilvl w:val="0"/>
          <w:numId w:val="11"/>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计时方式 学习/触发/RS485通信</w:t>
      </w:r>
    </w:p>
    <w:p w14:paraId="67E4EAEC">
      <w:pPr>
        <w:pStyle w:val="13"/>
        <w:numPr>
          <w:ilvl w:val="0"/>
          <w:numId w:val="11"/>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工作温度 -40 ~ +85℃ 相对湿度 ≤93%</w:t>
      </w:r>
    </w:p>
    <w:p w14:paraId="100D039A">
      <w:pPr>
        <w:pStyle w:val="13"/>
        <w:numPr>
          <w:ilvl w:val="0"/>
          <w:numId w:val="11"/>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保存环境 0~50℃，40~60%RH</w:t>
      </w:r>
    </w:p>
    <w:p w14:paraId="57EDCF63">
      <w:pPr>
        <w:pStyle w:val="13"/>
        <w:numPr>
          <w:ilvl w:val="0"/>
          <w:numId w:val="11"/>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防护等级 IP53</w:t>
      </w:r>
    </w:p>
    <w:p w14:paraId="73D95864">
      <w:pPr>
        <w:pStyle w:val="13"/>
        <w:numPr>
          <w:ilvl w:val="0"/>
          <w:numId w:val="11"/>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毛重  竖装≤30KG</w:t>
      </w:r>
    </w:p>
    <w:p w14:paraId="179AAE89">
      <w:pPr>
        <w:pStyle w:val="13"/>
        <w:keepNext w:val="0"/>
        <w:keepLines w:val="0"/>
        <w:pageBreakBefore w:val="0"/>
        <w:widowControl w:val="0"/>
        <w:numPr>
          <w:ilvl w:val="0"/>
          <w:numId w:val="11"/>
        </w:numPr>
        <w:kinsoku/>
        <w:wordWrap/>
        <w:overflowPunct/>
        <w:topLinePunct w:val="0"/>
        <w:autoSpaceDE/>
        <w:autoSpaceDN/>
        <w:bidi w:val="0"/>
        <w:adjustRightInd/>
        <w:snapToGrid/>
        <w:spacing w:line="360" w:lineRule="auto"/>
        <w:ind w:left="363" w:hanging="363"/>
        <w:jc w:val="both"/>
        <w:textAlignment w:val="auto"/>
        <w:rPr>
          <w:rFonts w:hint="eastAsia" w:ascii="宋体" w:hAnsi="宋体" w:eastAsia="宋体"/>
          <w:sz w:val="24"/>
          <w:szCs w:val="28"/>
          <w:lang w:val="en-US" w:eastAsia="zh-CN"/>
        </w:rPr>
      </w:pPr>
      <w:r>
        <w:rPr>
          <w:rFonts w:hint="eastAsia" w:ascii="宋体" w:hAnsi="宋体" w:eastAsia="宋体"/>
          <w:sz w:val="24"/>
          <w:szCs w:val="28"/>
          <w:lang w:val="en-US" w:eastAsia="zh-CN"/>
        </w:rPr>
        <w:t>参考标准 信号灯GB14887-2011 倒计时GAT508-2014</w:t>
      </w:r>
    </w:p>
    <w:p w14:paraId="7411F52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1" w:firstLineChars="100"/>
        <w:textAlignment w:val="auto"/>
        <w:outlineLvl w:val="1"/>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（11）300灯盘铝壳双8静态人行(盲人钟)信号灯</w:t>
      </w:r>
    </w:p>
    <w:p w14:paraId="261FDC59">
      <w:pPr>
        <w:pStyle w:val="13"/>
        <w:keepNext w:val="0"/>
        <w:keepLines w:val="0"/>
        <w:pageBreakBefore w:val="0"/>
        <w:widowControl w:val="0"/>
        <w:numPr>
          <w:ilvl w:val="0"/>
          <w:numId w:val="12"/>
        </w:numPr>
        <w:kinsoku/>
        <w:wordWrap/>
        <w:overflowPunct/>
        <w:topLinePunct w:val="0"/>
        <w:autoSpaceDE/>
        <w:autoSpaceDN/>
        <w:bidi w:val="0"/>
        <w:adjustRightInd/>
        <w:snapToGrid/>
        <w:spacing w:line="360" w:lineRule="auto"/>
        <w:ind w:left="363" w:hanging="363"/>
        <w:jc w:val="both"/>
        <w:textAlignment w:val="auto"/>
        <w:rPr>
          <w:rFonts w:hint="eastAsia" w:ascii="宋体" w:hAnsi="宋体" w:eastAsia="宋体"/>
          <w:sz w:val="24"/>
          <w:szCs w:val="28"/>
          <w:lang w:val="en-US" w:eastAsia="zh-CN"/>
        </w:rPr>
      </w:pPr>
      <w:r>
        <w:rPr>
          <w:rFonts w:hint="eastAsia" w:ascii="宋体" w:hAnsi="宋体" w:eastAsia="宋体"/>
          <w:sz w:val="24"/>
          <w:szCs w:val="28"/>
          <w:lang w:val="en-US" w:eastAsia="zh-CN"/>
        </w:rPr>
        <w:t>面罩规格    Φ300mm 面罩材质 玻璃</w:t>
      </w:r>
    </w:p>
    <w:p w14:paraId="0F446F73">
      <w:pPr>
        <w:pStyle w:val="13"/>
        <w:numPr>
          <w:ilvl w:val="0"/>
          <w:numId w:val="12"/>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外壳材质    优质铝板  表面处理 黑色喷塑哑光</w:t>
      </w:r>
    </w:p>
    <w:p w14:paraId="0A3EBF7B">
      <w:pPr>
        <w:pStyle w:val="13"/>
        <w:numPr>
          <w:ilvl w:val="0"/>
          <w:numId w:val="12"/>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遮沿帽檐    300帽檐长度33.3cm，0.45镀锌板黑色喷塑，接受下单时定制；</w:t>
      </w:r>
    </w:p>
    <w:p w14:paraId="679B9151">
      <w:pPr>
        <w:pStyle w:val="13"/>
        <w:numPr>
          <w:ilvl w:val="0"/>
          <w:numId w:val="12"/>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工作电压    AC176～264V，50HZ   功率≤15W</w:t>
      </w:r>
    </w:p>
    <w:p w14:paraId="07858D3D">
      <w:pPr>
        <w:pStyle w:val="13"/>
        <w:numPr>
          <w:ilvl w:val="0"/>
          <w:numId w:val="12"/>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绝缘电阻    ≥500MΩ  介电强度    ≥1440V</w:t>
      </w:r>
    </w:p>
    <w:p w14:paraId="7B79F12D">
      <w:pPr>
        <w:pStyle w:val="13"/>
        <w:numPr>
          <w:ilvl w:val="0"/>
          <w:numId w:val="12"/>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中心光强    150cd ~ 400cd</w:t>
      </w:r>
    </w:p>
    <w:p w14:paraId="1C158E40">
      <w:pPr>
        <w:pStyle w:val="13"/>
        <w:numPr>
          <w:ilvl w:val="0"/>
          <w:numId w:val="12"/>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LED数量    红人70，绿人70；倒计时红140，绿140；</w:t>
      </w:r>
    </w:p>
    <w:p w14:paraId="3542ACF5">
      <w:pPr>
        <w:pStyle w:val="13"/>
        <w:numPr>
          <w:ilvl w:val="0"/>
          <w:numId w:val="12"/>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LED 直径    Φ5mm 单管电流 &lt; 18mA</w:t>
      </w:r>
    </w:p>
    <w:p w14:paraId="10447BC1">
      <w:pPr>
        <w:pStyle w:val="13"/>
        <w:numPr>
          <w:ilvl w:val="0"/>
          <w:numId w:val="12"/>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LED寿命    ≥70000小时</w:t>
      </w:r>
    </w:p>
    <w:p w14:paraId="26BF81C6">
      <w:pPr>
        <w:pStyle w:val="13"/>
        <w:numPr>
          <w:ilvl w:val="0"/>
          <w:numId w:val="12"/>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LED波长    红：625 nm绿：505 nm</w:t>
      </w:r>
    </w:p>
    <w:p w14:paraId="14FE75ED">
      <w:pPr>
        <w:pStyle w:val="13"/>
        <w:numPr>
          <w:ilvl w:val="0"/>
          <w:numId w:val="12"/>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可视距离    &gt;300m 可视角度 &gt;30°</w:t>
      </w:r>
    </w:p>
    <w:p w14:paraId="6A00E3F6">
      <w:pPr>
        <w:pStyle w:val="13"/>
        <w:numPr>
          <w:ilvl w:val="0"/>
          <w:numId w:val="12"/>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倒计时      双8倒计时，全程或半程计时，最大99～1；</w:t>
      </w:r>
    </w:p>
    <w:p w14:paraId="361DD983">
      <w:pPr>
        <w:pStyle w:val="13"/>
        <w:numPr>
          <w:ilvl w:val="0"/>
          <w:numId w:val="12"/>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组合方式    上部红人+绿双8，下部动态绿人+红双8，语音提示</w:t>
      </w:r>
    </w:p>
    <w:p w14:paraId="48A3399E">
      <w:pPr>
        <w:pStyle w:val="13"/>
        <w:numPr>
          <w:ilvl w:val="0"/>
          <w:numId w:val="12"/>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计时方式    跟随/触发/通讯</w:t>
      </w:r>
    </w:p>
    <w:p w14:paraId="22E5961D">
      <w:pPr>
        <w:pStyle w:val="13"/>
        <w:numPr>
          <w:ilvl w:val="0"/>
          <w:numId w:val="12"/>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工作温度     -40 ~ +85℃ 相对湿度 ≤93%</w:t>
      </w:r>
    </w:p>
    <w:p w14:paraId="7E2CABEE">
      <w:pPr>
        <w:pStyle w:val="13"/>
        <w:numPr>
          <w:ilvl w:val="0"/>
          <w:numId w:val="12"/>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保存环境  0~50℃，40~60%RH</w:t>
      </w:r>
    </w:p>
    <w:p w14:paraId="6060C138">
      <w:pPr>
        <w:pStyle w:val="13"/>
        <w:numPr>
          <w:ilvl w:val="0"/>
          <w:numId w:val="12"/>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防护等级     IP53</w:t>
      </w:r>
    </w:p>
    <w:p w14:paraId="7D456B98">
      <w:pPr>
        <w:pStyle w:val="13"/>
        <w:numPr>
          <w:ilvl w:val="0"/>
          <w:numId w:val="12"/>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灯体重量     铝壳≤10KG</w:t>
      </w:r>
    </w:p>
    <w:p w14:paraId="603F693B">
      <w:pPr>
        <w:pStyle w:val="13"/>
        <w:numPr>
          <w:ilvl w:val="0"/>
          <w:numId w:val="12"/>
        </w:numPr>
        <w:spacing w:before="156" w:beforeLines="50" w:after="156" w:afterLines="50" w:line="360" w:lineRule="auto"/>
        <w:jc w:val="both"/>
        <w:rPr>
          <w:rFonts w:hint="eastAsia" w:ascii="宋体" w:hAnsi="宋体" w:eastAsia="宋体"/>
          <w:sz w:val="24"/>
          <w:szCs w:val="28"/>
          <w:lang w:val="en-US" w:eastAsia="zh-CN"/>
        </w:rPr>
      </w:pPr>
      <w:r>
        <w:rPr>
          <w:rFonts w:hint="eastAsia" w:ascii="宋体" w:hAnsi="宋体" w:eastAsia="宋体"/>
          <w:sz w:val="24"/>
          <w:szCs w:val="28"/>
          <w:lang w:val="en-US" w:eastAsia="zh-CN"/>
        </w:rPr>
        <w:t>毛重     竖装≤12KG</w:t>
      </w:r>
    </w:p>
    <w:p w14:paraId="7B91ED68">
      <w:pPr>
        <w:pStyle w:val="13"/>
        <w:keepNext w:val="0"/>
        <w:keepLines w:val="0"/>
        <w:pageBreakBefore w:val="0"/>
        <w:widowControl w:val="0"/>
        <w:numPr>
          <w:ilvl w:val="0"/>
          <w:numId w:val="12"/>
        </w:numPr>
        <w:kinsoku/>
        <w:wordWrap/>
        <w:overflowPunct/>
        <w:topLinePunct w:val="0"/>
        <w:autoSpaceDE/>
        <w:autoSpaceDN/>
        <w:bidi w:val="0"/>
        <w:adjustRightInd/>
        <w:snapToGrid/>
        <w:spacing w:line="360" w:lineRule="auto"/>
        <w:ind w:left="363" w:hanging="363"/>
        <w:jc w:val="both"/>
        <w:textAlignment w:val="auto"/>
        <w:rPr>
          <w:rFonts w:hint="eastAsia" w:ascii="宋体" w:hAnsi="宋体" w:eastAsia="宋体" w:cs="宋体"/>
          <w:sz w:val="24"/>
          <w:szCs w:val="24"/>
          <w:lang w:val="en-US" w:eastAsia="zh-CN"/>
        </w:rPr>
      </w:pPr>
      <w:r>
        <w:rPr>
          <w:rFonts w:hint="eastAsia" w:ascii="宋体" w:hAnsi="宋体" w:eastAsia="宋体"/>
          <w:sz w:val="24"/>
          <w:szCs w:val="28"/>
          <w:lang w:val="en-US" w:eastAsia="zh-CN"/>
        </w:rPr>
        <w:t>参考标准     信号灯GB14887-2011    倒计时GAT508-2014</w:t>
      </w:r>
    </w:p>
    <w:p w14:paraId="4B5B4E84">
      <w:pPr>
        <w:keepNext w:val="0"/>
        <w:keepLines w:val="0"/>
        <w:pageBreakBefore w:val="0"/>
        <w:kinsoku/>
        <w:wordWrap/>
        <w:overflowPunct/>
        <w:topLinePunct w:val="0"/>
        <w:autoSpaceDE/>
        <w:autoSpaceDN/>
        <w:bidi w:val="0"/>
        <w:spacing w:line="360" w:lineRule="auto"/>
        <w:outlineLvl w:val="1"/>
        <w:rPr>
          <w:rFonts w:hint="eastAsia" w:ascii="宋体" w:hAnsi="宋体" w:eastAsia="宋体" w:cs="宋体"/>
          <w:b/>
          <w:color w:val="000000"/>
          <w:sz w:val="24"/>
          <w:szCs w:val="24"/>
        </w:rPr>
      </w:pPr>
      <w:r>
        <w:rPr>
          <w:rFonts w:hint="eastAsia" w:ascii="宋体" w:hAnsi="宋体" w:eastAsia="宋体" w:cs="宋体"/>
          <w:b/>
          <w:color w:val="000000"/>
          <w:sz w:val="24"/>
          <w:szCs w:val="24"/>
          <w:lang w:val="en-US" w:eastAsia="zh-CN"/>
        </w:rPr>
        <w:t>六</w:t>
      </w:r>
      <w:r>
        <w:rPr>
          <w:rFonts w:hint="eastAsia" w:ascii="宋体" w:hAnsi="宋体" w:eastAsia="宋体" w:cs="宋体"/>
          <w:b/>
          <w:color w:val="000000"/>
          <w:sz w:val="24"/>
          <w:szCs w:val="24"/>
        </w:rPr>
        <w:t>、</w:t>
      </w:r>
      <w:bookmarkEnd w:id="3"/>
      <w:bookmarkEnd w:id="4"/>
      <w:r>
        <w:rPr>
          <w:rFonts w:hint="eastAsia" w:ascii="宋体" w:hAnsi="宋体" w:eastAsia="宋体" w:cs="宋体"/>
          <w:b/>
          <w:color w:val="000000"/>
          <w:sz w:val="24"/>
          <w:szCs w:val="24"/>
        </w:rPr>
        <w:t>项目服务内容及要求</w:t>
      </w:r>
    </w:p>
    <w:p w14:paraId="50313D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1" w:firstLineChars="100"/>
        <w:textAlignment w:val="auto"/>
        <w:outlineLvl w:val="1"/>
        <w:rPr>
          <w:rFonts w:hint="eastAsia" w:ascii="宋体" w:hAnsi="宋体" w:eastAsia="宋体" w:cs="宋体"/>
          <w:b/>
          <w:bCs/>
          <w:color w:val="000000"/>
          <w:sz w:val="24"/>
          <w:szCs w:val="24"/>
          <w:lang w:val="en-US" w:eastAsia="zh-CN"/>
        </w:rPr>
      </w:pPr>
      <w:bookmarkStart w:id="5" w:name="_Toc11391"/>
      <w:bookmarkStart w:id="6" w:name="_Toc7609"/>
      <w:bookmarkStart w:id="7" w:name="_Toc15425224"/>
      <w:r>
        <w:rPr>
          <w:rFonts w:hint="eastAsia" w:ascii="宋体" w:hAnsi="宋体" w:eastAsia="宋体" w:cs="宋体"/>
          <w:b/>
          <w:bCs/>
          <w:color w:val="000000"/>
          <w:sz w:val="24"/>
          <w:szCs w:val="24"/>
          <w:lang w:val="en-US" w:eastAsia="zh-CN"/>
        </w:rPr>
        <w:t>（一）项目服务要求</w:t>
      </w:r>
      <w:bookmarkEnd w:id="5"/>
      <w:bookmarkEnd w:id="6"/>
      <w:bookmarkEnd w:id="7"/>
    </w:p>
    <w:p w14:paraId="3A6DA9E6">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本项目</w:t>
      </w:r>
      <w:r>
        <w:rPr>
          <w:rFonts w:hint="eastAsia" w:ascii="宋体" w:hAnsi="宋体" w:eastAsia="宋体" w:cs="宋体"/>
          <w:color w:val="000000"/>
          <w:sz w:val="24"/>
          <w:szCs w:val="24"/>
        </w:rPr>
        <w:t>维护</w:t>
      </w:r>
      <w:r>
        <w:rPr>
          <w:rFonts w:hint="eastAsia" w:ascii="宋体" w:hAnsi="宋体" w:eastAsia="宋体" w:cs="宋体"/>
          <w:color w:val="000000"/>
          <w:sz w:val="24"/>
          <w:szCs w:val="24"/>
          <w:lang w:val="en-US" w:eastAsia="zh-CN"/>
        </w:rPr>
        <w:t>期为三年，</w:t>
      </w:r>
      <w:r>
        <w:rPr>
          <w:rFonts w:hint="eastAsia" w:ascii="宋体" w:hAnsi="宋体" w:eastAsia="宋体" w:cs="宋体"/>
          <w:color w:val="000000"/>
          <w:sz w:val="24"/>
          <w:szCs w:val="24"/>
        </w:rPr>
        <w:t>服务单位在维护期内，要保障本项目招标范围内系统正常运行，对设备维护（含设备自然损坏、人为损坏、交通事故、偷盗破坏、道路施工等造成损坏的维护）、保养、保管等行为所产生的人工费、材料费、施工费、交通费、通讯费等其他相关费用均由服务单位负责。（设备人为损坏的，服务单位有自行追偿的权利）。</w:t>
      </w:r>
    </w:p>
    <w:p w14:paraId="206F0419">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2.维护过程中的安全问题由服务单位负责。</w:t>
      </w:r>
    </w:p>
    <w:p w14:paraId="788BF942">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3.服务单位不得将本项目涉及到的车辆数据、管理信息等公安管理及公民隐私等内容外传或另作他用。</w:t>
      </w:r>
    </w:p>
    <w:p w14:paraId="54A85028">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4.报障修复要求：要求提供固定报障电话，7*24小时系统任何故障响应服务，收到报障必须要</w:t>
      </w:r>
      <w:r>
        <w:rPr>
          <w:rFonts w:hint="eastAsia" w:ascii="宋体" w:hAnsi="宋体" w:eastAsia="宋体" w:cs="宋体"/>
          <w:color w:val="000000"/>
          <w:sz w:val="24"/>
          <w:szCs w:val="24"/>
          <w:lang w:val="en-US" w:eastAsia="zh-CN"/>
        </w:rPr>
        <w:t>10分钟</w:t>
      </w:r>
      <w:r>
        <w:rPr>
          <w:rFonts w:hint="eastAsia" w:ascii="宋体" w:hAnsi="宋体" w:eastAsia="宋体" w:cs="宋体"/>
          <w:color w:val="000000"/>
          <w:sz w:val="24"/>
          <w:szCs w:val="24"/>
        </w:rPr>
        <w:t>内响应，</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小时内赶到现场，到达现场后需拍照取证。如遇不可抗拒的原因无法按时到达现场的，需提供书面详细情况说明原因。故障修复时间要求如下：</w:t>
      </w:r>
    </w:p>
    <w:p w14:paraId="3A03B10E">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（1）常规故障：采用更换零配件的方式维修后可保证现场设备正常运行的，</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 xml:space="preserve">小时内修复现场故障； </w:t>
      </w:r>
    </w:p>
    <w:p w14:paraId="03FB1709">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（2）线路、取电等涉及线路故障的，经抢修人员电话或邮件与报障人员确认后，需在72小时内修复故障；</w:t>
      </w:r>
    </w:p>
    <w:p w14:paraId="48C70CD0">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涉及基础、地下管线施工等需要报批施工的故障，经抢修人员电话或邮件与报障人员确认，具备恢复条件并取得审批许可后，需在7日内修复故障，如果修复涉及必须消耗的施工时间（如倒基础必须等水泥干后才能进行下一步的施工等），可以根据具体情况延长修复时间，但乙方必须提供施工的进度报告说明情况。</w:t>
      </w:r>
    </w:p>
    <w:p w14:paraId="13F23ED6">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遇紧急安全情况（交通事故损坏、设备掉落等造成现场存在其他安全隐患的情况），服务单位接电话通知后，必须按上述时间要求到达现场处置，3小时内消除安全隐患，可以根据具体情况延长修复时间，但服务单位必须提供施工的进度报告说明情况。</w:t>
      </w:r>
    </w:p>
    <w:p w14:paraId="3AF20D5B">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5.违约处罚</w:t>
      </w:r>
    </w:p>
    <w:p w14:paraId="6992DC39">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服务单位未能在规定时间内履行故障修复要求的，每新增一次违约需扣减人民币500元，同时每延迟修复一日需扣减人民币100元，违约金的扣减在本合同每次结算维护费用时执行。合同期最终结算前必须完成设备清点，如发生设备缺失或损坏未修复的，服务单位需按设备价值赔偿。</w:t>
      </w:r>
    </w:p>
    <w:p w14:paraId="35FBE8DC">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6.服务单位须每个月对所有设备巡检一次以上，巡检内容包括设备清点，设备状态检查，电气设备的除尘保养，确保杆件安装牢固、坚固件无松动，机箱外表干净整洁，提供巡检报告，由招、投标双方确认。</w:t>
      </w:r>
    </w:p>
    <w:p w14:paraId="7286F3A6">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7.服务单位每月提供设备整体运行报告，统计分析故障原因及维护成本，提出下一月维护策略供采购人参考。</w:t>
      </w:r>
    </w:p>
    <w:p w14:paraId="4B4030EE">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8.杆件安装牢固、垂直、坚固件无松动，垂直安装的倾斜度不得超过杆体长度1%。杆、机箱清洁干净，无文字广告、无污渍，无生锈变形，机械强度满足要求。</w:t>
      </w:r>
    </w:p>
    <w:p w14:paraId="7A86B529">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9.预防性维护保养</w:t>
      </w:r>
    </w:p>
    <w:p w14:paraId="07DF44DA">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加强设备的预防性维护保养，从经济角度来看，是最为有效的。通过对设备的维护保养，可以延长设备使用年限和运行完好率，提高设备的利用率和使用价值；从设备的性能角度来看，通过预防性维护保养可以使设备长期保持运转正常，设备性能不会迅速降低或丧失，从而可以避免发生重大设备故障，造成较大的经济损失。</w:t>
      </w:r>
    </w:p>
    <w:p w14:paraId="582FFD78">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预防性维护保养建立在计划和时间表的基础上，在设备使用期内进行定期保养和检测，防止设备可能发生的故障和损坏，同时定期预防性维护保养也要和日常保养相结合，一旦发生潜在的故障前兆就应该及时进行保养，对于一些小故障也不能轻易的放过。 </w:t>
      </w:r>
    </w:p>
    <w:p w14:paraId="62C7D336">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预防性维护保养也包括改良性维护，改良性维护是指对设备的更新和改造，从而保证设备能够满足需要。</w:t>
      </w:r>
    </w:p>
    <w:p w14:paraId="71D0ECDE">
      <w:pPr>
        <w:keepNext w:val="0"/>
        <w:keepLines w:val="0"/>
        <w:pageBreakBefore w:val="0"/>
        <w:kinsoku/>
        <w:wordWrap/>
        <w:overflowPunct/>
        <w:topLinePunct w:val="0"/>
        <w:autoSpaceDE/>
        <w:autoSpaceDN/>
        <w:bidi w:val="0"/>
        <w:spacing w:line="480" w:lineRule="exact"/>
        <w:ind w:firstLine="482" w:firstLineChars="200"/>
        <w:rPr>
          <w:rFonts w:hint="eastAsia" w:ascii="宋体" w:hAnsi="宋体" w:eastAsia="宋体" w:cs="宋体"/>
          <w:color w:val="000000"/>
          <w:sz w:val="24"/>
          <w:szCs w:val="24"/>
        </w:rPr>
      </w:pPr>
      <w:r>
        <w:rPr>
          <w:rFonts w:hint="eastAsia" w:ascii="宋体" w:hAnsi="宋体" w:eastAsia="宋体" w:cs="宋体"/>
          <w:b/>
          <w:color w:val="000000"/>
          <w:sz w:val="24"/>
          <w:szCs w:val="24"/>
        </w:rPr>
        <w:t>预防性维护保养措施如下：</w:t>
      </w:r>
    </w:p>
    <w:p w14:paraId="47F45146">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组织定期检修、保养和维护，对设备进行清尘、清洁和检查。及时发现故障、隐患并及时处理，把故障消灭在萌芽状态，避免扩大故障范围。对发现的问题及时处理，以保证前端设备持续、稳定、安全地运行。</w:t>
      </w:r>
    </w:p>
    <w:p w14:paraId="1C843E9E">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(1)每月一次对每个抓拍点进行巡检</w:t>
      </w:r>
    </w:p>
    <w:p w14:paraId="090D6391">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查看基础设施、设备有无遭到损坏和人为破坏（被撬、砸、拆、偷）以及是否完整、整洁。并作好巡检记录。如有发现损坏、破坏等，要及时予以修复、调整，不能修复的则予以更换。</w:t>
      </w:r>
    </w:p>
    <w:p w14:paraId="42325A07">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(2)每月一次进行清洁、保养、检测</w:t>
      </w:r>
    </w:p>
    <w:p w14:paraId="4BD38394">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每月一次对前端设备和线路接口等进行检查清洁，并对上述设备进行保养和检测，保证设备正常有效运行。</w:t>
      </w:r>
    </w:p>
    <w:p w14:paraId="72EC784D">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(3)建立详细的、完善的登记制度，对每次的维护内容进行登记、对于维护、维修、设备更换、设备维修等事项，严格执行登记制度，并向有关的负责人汇报情况。每个月制作一份维护内容清单提交给用户。</w:t>
      </w:r>
    </w:p>
    <w:p w14:paraId="41108CFA">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维护期内，维护开始及维护结束需要对设备进行清点，并经双方确认。</w:t>
      </w:r>
    </w:p>
    <w:p w14:paraId="7E6E3FCA">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10.停用设备约定</w:t>
      </w:r>
    </w:p>
    <w:p w14:paraId="3BBFECCC">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因道路施工、路口改造、设备升级、设备迁移等原因造成设备停用的，由服务单位负责存放设备，并对设备进行保管保养，保障设备能随时投入使用，停用期间不支付维护费。</w:t>
      </w:r>
    </w:p>
    <w:p w14:paraId="1C64E5C4">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11.合同期结束，服务单位须保证维护设备状态正常，并在采购人监督下与下一年度维护服务单位交接。</w:t>
      </w:r>
    </w:p>
    <w:p w14:paraId="11C303B1">
      <w:pPr>
        <w:pStyle w:val="4"/>
        <w:keepNext w:val="0"/>
        <w:keepLines w:val="0"/>
        <w:pageBreakBefore w:val="0"/>
        <w:kinsoku/>
        <w:wordWrap/>
        <w:overflowPunct/>
        <w:topLinePunct w:val="0"/>
        <w:autoSpaceDE/>
        <w:autoSpaceDN/>
        <w:bidi w:val="0"/>
        <w:spacing w:after="0" w:afterLines="0"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12.维护期间，确保前端设备杆件均配有服务单位名称以及联系电话的铭牌，以保证紧急抢修联系的时效性。</w:t>
      </w:r>
    </w:p>
    <w:p w14:paraId="574CB62E">
      <w:pPr>
        <w:rPr>
          <w:rFonts w:hint="eastAsia"/>
        </w:rPr>
      </w:pPr>
    </w:p>
    <w:p w14:paraId="0B0A7758">
      <w:pPr>
        <w:keepNext w:val="0"/>
        <w:keepLines w:val="0"/>
        <w:pageBreakBefore w:val="0"/>
        <w:kinsoku/>
        <w:wordWrap/>
        <w:overflowPunct/>
        <w:topLinePunct w:val="0"/>
        <w:autoSpaceDE/>
        <w:autoSpaceDN/>
        <w:bidi w:val="0"/>
        <w:spacing w:line="360" w:lineRule="auto"/>
        <w:outlineLvl w:val="1"/>
        <w:rPr>
          <w:rFonts w:hint="eastAsia" w:ascii="宋体" w:hAnsi="宋体" w:eastAsia="宋体" w:cs="宋体"/>
          <w:b/>
          <w:color w:val="000000"/>
          <w:sz w:val="24"/>
          <w:szCs w:val="24"/>
        </w:rPr>
      </w:pPr>
      <w:bookmarkStart w:id="8" w:name="_Toc21123"/>
      <w:bookmarkStart w:id="9" w:name="_Toc8886"/>
      <w:r>
        <w:rPr>
          <w:rFonts w:hint="eastAsia" w:ascii="宋体" w:hAnsi="宋体" w:eastAsia="宋体" w:cs="宋体"/>
          <w:b/>
          <w:color w:val="000000"/>
          <w:sz w:val="24"/>
          <w:szCs w:val="24"/>
        </w:rPr>
        <w:t>七、资源配置</w:t>
      </w:r>
      <w:bookmarkEnd w:id="8"/>
      <w:bookmarkEnd w:id="9"/>
    </w:p>
    <w:p w14:paraId="7792DEB5">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1.服务单位须针对本次维护项目专门配备完整的维修工具，完备的劳防用品及专业工具配备。</w:t>
      </w:r>
    </w:p>
    <w:p w14:paraId="29A00EBD">
      <w:pPr>
        <w:keepNext w:val="0"/>
        <w:keepLines w:val="0"/>
        <w:pageBreakBefore w:val="0"/>
        <w:kinsoku/>
        <w:wordWrap/>
        <w:overflowPunct/>
        <w:topLinePunct w:val="0"/>
        <w:autoSpaceDE/>
        <w:autoSpaceDN/>
        <w:bidi w:val="0"/>
        <w:spacing w:line="480" w:lineRule="exact"/>
        <w:ind w:firstLine="482" w:firstLineChars="200"/>
        <w:rPr>
          <w:rFonts w:hint="eastAsia" w:ascii="宋体" w:hAnsi="宋体" w:eastAsia="宋体" w:cs="宋体"/>
          <w:b/>
          <w:color w:val="000000"/>
          <w:sz w:val="24"/>
          <w:szCs w:val="24"/>
        </w:rPr>
      </w:pPr>
      <w:bookmarkStart w:id="10" w:name="_Toc182557793"/>
      <w:bookmarkStart w:id="11" w:name="_Toc29580"/>
      <w:bookmarkStart w:id="12" w:name="_Toc29840"/>
      <w:bookmarkStart w:id="13" w:name="_Toc9444"/>
      <w:r>
        <w:rPr>
          <w:rFonts w:hint="eastAsia" w:ascii="宋体" w:hAnsi="宋体" w:eastAsia="宋体" w:cs="宋体"/>
          <w:b/>
          <w:color w:val="000000"/>
          <w:sz w:val="24"/>
          <w:szCs w:val="24"/>
        </w:rPr>
        <w:t>主要施工工具准备</w:t>
      </w:r>
      <w:bookmarkEnd w:id="10"/>
      <w:bookmarkEnd w:id="11"/>
      <w:bookmarkEnd w:id="12"/>
      <w:bookmarkEnd w:id="13"/>
    </w:p>
    <w:tbl>
      <w:tblPr>
        <w:tblStyle w:val="7"/>
        <w:tblW w:w="6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5704"/>
      </w:tblGrid>
      <w:tr w14:paraId="2E029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08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170D7B0">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57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A07180F">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主要工具名称规格</w:t>
            </w:r>
          </w:p>
        </w:tc>
      </w:tr>
      <w:tr w14:paraId="613F8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8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7B2C99B">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57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F1FC765">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工程车</w:t>
            </w:r>
          </w:p>
        </w:tc>
      </w:tr>
      <w:tr w14:paraId="5B254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8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49EC7ED">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57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ECA0E3F">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冲击钻</w:t>
            </w:r>
          </w:p>
        </w:tc>
      </w:tr>
      <w:tr w14:paraId="1EDBB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8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BB02D40">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w:t>
            </w:r>
          </w:p>
        </w:tc>
        <w:tc>
          <w:tcPr>
            <w:tcW w:w="57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87C0214">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手枪钻</w:t>
            </w:r>
          </w:p>
        </w:tc>
      </w:tr>
      <w:tr w14:paraId="69F05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8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543F32E">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w:t>
            </w:r>
          </w:p>
        </w:tc>
        <w:tc>
          <w:tcPr>
            <w:tcW w:w="57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A2EDE38">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手磨机</w:t>
            </w:r>
          </w:p>
        </w:tc>
      </w:tr>
      <w:tr w14:paraId="0593D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08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7C38DAF">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5</w:t>
            </w:r>
          </w:p>
        </w:tc>
        <w:tc>
          <w:tcPr>
            <w:tcW w:w="57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56773BD">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数字万用表</w:t>
            </w:r>
          </w:p>
        </w:tc>
      </w:tr>
      <w:tr w14:paraId="100C4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8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DD7BD15">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6</w:t>
            </w:r>
          </w:p>
        </w:tc>
        <w:tc>
          <w:tcPr>
            <w:tcW w:w="57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E8C0CD9">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人字梯</w:t>
            </w:r>
          </w:p>
        </w:tc>
      </w:tr>
      <w:tr w14:paraId="0EF0D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8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B734533">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w:t>
            </w:r>
          </w:p>
        </w:tc>
        <w:tc>
          <w:tcPr>
            <w:tcW w:w="57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8D8AA2E">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兆欧表</w:t>
            </w:r>
          </w:p>
        </w:tc>
      </w:tr>
      <w:tr w14:paraId="24647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8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AA4E4B9">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8</w:t>
            </w:r>
          </w:p>
        </w:tc>
        <w:tc>
          <w:tcPr>
            <w:tcW w:w="57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4BFB4AC">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手持照明等</w:t>
            </w:r>
          </w:p>
        </w:tc>
      </w:tr>
      <w:tr w14:paraId="749B7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8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981CB60">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9</w:t>
            </w:r>
          </w:p>
        </w:tc>
        <w:tc>
          <w:tcPr>
            <w:tcW w:w="57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4185C6C">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安全帽、带劳保用品</w:t>
            </w:r>
          </w:p>
        </w:tc>
      </w:tr>
      <w:tr w14:paraId="2146F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8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90A6609">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57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D6BE522">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全套组合测试工具</w:t>
            </w:r>
          </w:p>
        </w:tc>
      </w:tr>
      <w:tr w14:paraId="4F05E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8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5661F32">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w:t>
            </w:r>
          </w:p>
        </w:tc>
        <w:tc>
          <w:tcPr>
            <w:tcW w:w="57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D9B9AE6">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手提电脑</w:t>
            </w:r>
          </w:p>
        </w:tc>
      </w:tr>
      <w:tr w14:paraId="77CB0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8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B9A0C1A">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12</w:t>
            </w:r>
          </w:p>
        </w:tc>
        <w:tc>
          <w:tcPr>
            <w:tcW w:w="57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6D62D23">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网络测试仪、通断测试仪</w:t>
            </w:r>
          </w:p>
        </w:tc>
      </w:tr>
      <w:tr w14:paraId="46392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8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D977170">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13</w:t>
            </w:r>
          </w:p>
        </w:tc>
        <w:tc>
          <w:tcPr>
            <w:tcW w:w="57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EA35D73">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电工用普通组合工具(虎钳、扳手、螺丝刀等)</w:t>
            </w:r>
          </w:p>
        </w:tc>
      </w:tr>
    </w:tbl>
    <w:p w14:paraId="75198F82">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2.售后服务网点分布情况表</w:t>
      </w:r>
    </w:p>
    <w:p w14:paraId="155B0EFE">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bookmarkStart w:id="14" w:name="_Toc372229329"/>
      <w:r>
        <w:rPr>
          <w:rFonts w:hint="eastAsia" w:ascii="宋体" w:hAnsi="宋体" w:eastAsia="宋体" w:cs="宋体"/>
          <w:color w:val="000000"/>
          <w:sz w:val="24"/>
          <w:szCs w:val="24"/>
        </w:rPr>
        <w:t>本项目的售后服务，由服务单位总部负责，其他区域辅助，售后机构证件详见企业营业执照</w:t>
      </w:r>
      <w:bookmarkEnd w:id="14"/>
      <w:r>
        <w:rPr>
          <w:rFonts w:hint="eastAsia" w:ascii="宋体" w:hAnsi="宋体" w:eastAsia="宋体" w:cs="宋体"/>
          <w:color w:val="000000"/>
          <w:sz w:val="24"/>
          <w:szCs w:val="24"/>
        </w:rPr>
        <w:t>。</w:t>
      </w:r>
    </w:p>
    <w:p w14:paraId="27DFB188">
      <w:pPr>
        <w:rPr>
          <w:rFonts w:hint="eastAsia"/>
        </w:rPr>
      </w:pPr>
      <w:bookmarkStart w:id="15" w:name="_Toc12791"/>
      <w:bookmarkStart w:id="16" w:name="_Toc431072769"/>
      <w:bookmarkStart w:id="17" w:name="_Toc373578475"/>
      <w:bookmarkStart w:id="18" w:name="_Toc28193"/>
      <w:bookmarkStart w:id="19" w:name="_Toc489713589"/>
      <w:bookmarkStart w:id="20" w:name="_Toc426961716"/>
      <w:bookmarkStart w:id="21" w:name="_Toc463718341"/>
      <w:bookmarkStart w:id="22" w:name="_Toc373429272"/>
      <w:bookmarkStart w:id="23" w:name="_Toc373429623"/>
    </w:p>
    <w:p w14:paraId="22EC6F7E">
      <w:pPr>
        <w:keepNext w:val="0"/>
        <w:keepLines w:val="0"/>
        <w:pageBreakBefore w:val="0"/>
        <w:kinsoku/>
        <w:wordWrap/>
        <w:overflowPunct/>
        <w:topLinePunct w:val="0"/>
        <w:autoSpaceDE/>
        <w:autoSpaceDN/>
        <w:bidi w:val="0"/>
        <w:spacing w:line="360" w:lineRule="auto"/>
        <w:outlineLvl w:val="1"/>
        <w:rPr>
          <w:rFonts w:hint="eastAsia" w:ascii="宋体" w:hAnsi="宋体" w:eastAsia="宋体" w:cs="宋体"/>
          <w:b/>
          <w:color w:val="000000"/>
          <w:sz w:val="24"/>
          <w:szCs w:val="24"/>
        </w:rPr>
      </w:pPr>
      <w:r>
        <w:rPr>
          <w:rFonts w:hint="eastAsia" w:ascii="宋体" w:hAnsi="宋体" w:eastAsia="宋体" w:cs="宋体"/>
          <w:b/>
          <w:color w:val="000000"/>
          <w:sz w:val="24"/>
          <w:szCs w:val="24"/>
          <w:lang w:val="en-US" w:eastAsia="zh-CN"/>
        </w:rPr>
        <w:t>八</w:t>
      </w:r>
      <w:r>
        <w:rPr>
          <w:rFonts w:hint="eastAsia" w:ascii="宋体" w:hAnsi="宋体" w:eastAsia="宋体" w:cs="宋体"/>
          <w:b/>
          <w:color w:val="000000"/>
          <w:sz w:val="24"/>
          <w:szCs w:val="24"/>
        </w:rPr>
        <w:t>、 备/配件支持计划</w:t>
      </w:r>
      <w:bookmarkEnd w:id="15"/>
      <w:bookmarkEnd w:id="16"/>
      <w:bookmarkEnd w:id="17"/>
      <w:bookmarkEnd w:id="18"/>
      <w:bookmarkEnd w:id="19"/>
      <w:bookmarkEnd w:id="20"/>
      <w:bookmarkEnd w:id="21"/>
      <w:bookmarkEnd w:id="22"/>
      <w:bookmarkEnd w:id="23"/>
    </w:p>
    <w:p w14:paraId="4AD2796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1" w:firstLineChars="100"/>
        <w:textAlignment w:val="auto"/>
        <w:outlineLvl w:val="1"/>
        <w:rPr>
          <w:rFonts w:hint="eastAsia" w:ascii="宋体" w:hAnsi="宋体" w:eastAsia="宋体" w:cs="宋体"/>
          <w:b/>
          <w:bCs/>
          <w:color w:val="000000"/>
          <w:sz w:val="24"/>
          <w:szCs w:val="24"/>
          <w:lang w:val="en-US" w:eastAsia="zh-CN"/>
        </w:rPr>
      </w:pPr>
      <w:bookmarkStart w:id="24" w:name="_Toc12095"/>
      <w:bookmarkStart w:id="25" w:name="_Toc373429624"/>
      <w:bookmarkStart w:id="26" w:name="_Toc28885"/>
      <w:bookmarkStart w:id="27" w:name="_Toc372229334"/>
      <w:bookmarkStart w:id="28" w:name="_Toc373578476"/>
      <w:bookmarkStart w:id="29" w:name="_Toc373429273"/>
      <w:bookmarkStart w:id="30" w:name="_Toc463718342"/>
      <w:r>
        <w:rPr>
          <w:rFonts w:hint="eastAsia" w:ascii="宋体" w:hAnsi="宋体" w:eastAsia="宋体" w:cs="宋体"/>
          <w:b/>
          <w:bCs/>
          <w:color w:val="000000"/>
          <w:sz w:val="24"/>
          <w:szCs w:val="24"/>
          <w:lang w:val="en-US" w:eastAsia="zh-CN"/>
        </w:rPr>
        <w:t>1.维修机动小组</w:t>
      </w:r>
      <w:bookmarkEnd w:id="24"/>
      <w:bookmarkEnd w:id="25"/>
      <w:bookmarkEnd w:id="26"/>
      <w:bookmarkEnd w:id="27"/>
      <w:bookmarkEnd w:id="28"/>
      <w:bookmarkEnd w:id="29"/>
      <w:bookmarkEnd w:id="30"/>
    </w:p>
    <w:p w14:paraId="479CB32B">
      <w:pPr>
        <w:keepNext w:val="0"/>
        <w:keepLines w:val="0"/>
        <w:pageBreakBefore w:val="0"/>
        <w:kinsoku/>
        <w:wordWrap/>
        <w:overflowPunct/>
        <w:topLinePunct w:val="0"/>
        <w:autoSpaceDE/>
        <w:autoSpaceDN/>
        <w:bidi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在日常维修保养措施下，应能保障系统通常情况下的正常运作，但在特殊或突发情况下，如设备断电、主系统停机等重大故障，服务单位主管本项目的维修工程师在得知故障信息后，以最快的速度到达故障现场，如果预计不能在2小时内到达现场时，即通知维修总部安排维修机动小组到达现场，使系统的停机时间最短而保证整个技防系统不出现安全隐患。</w:t>
      </w:r>
    </w:p>
    <w:p w14:paraId="105AA1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1" w:firstLineChars="100"/>
        <w:textAlignment w:val="auto"/>
        <w:outlineLvl w:val="1"/>
        <w:rPr>
          <w:rFonts w:hint="eastAsia" w:ascii="宋体" w:hAnsi="宋体" w:eastAsia="宋体" w:cs="宋体"/>
          <w:b/>
          <w:bCs/>
          <w:color w:val="000000"/>
          <w:sz w:val="24"/>
          <w:szCs w:val="24"/>
          <w:lang w:val="en-US" w:eastAsia="zh-CN"/>
        </w:rPr>
      </w:pPr>
      <w:bookmarkStart w:id="31" w:name="_Toc373429626"/>
      <w:bookmarkStart w:id="32" w:name="_Toc373578478"/>
      <w:bookmarkStart w:id="33" w:name="_Toc463718344"/>
      <w:bookmarkStart w:id="34" w:name="_Toc30169"/>
      <w:bookmarkStart w:id="35" w:name="_Toc373429275"/>
      <w:bookmarkStart w:id="36" w:name="_Toc372229336"/>
      <w:r>
        <w:rPr>
          <w:rFonts w:hint="eastAsia" w:ascii="宋体" w:hAnsi="宋体" w:eastAsia="宋体" w:cs="宋体"/>
          <w:b/>
          <w:bCs/>
          <w:color w:val="000000"/>
          <w:sz w:val="24"/>
          <w:szCs w:val="24"/>
          <w:lang w:val="en-US" w:eastAsia="zh-CN"/>
        </w:rPr>
        <w:t>2.免费提供相同或类似器材代用</w:t>
      </w:r>
      <w:bookmarkEnd w:id="31"/>
      <w:bookmarkEnd w:id="32"/>
      <w:bookmarkEnd w:id="33"/>
      <w:bookmarkEnd w:id="34"/>
      <w:bookmarkEnd w:id="35"/>
      <w:bookmarkEnd w:id="36"/>
    </w:p>
    <w:p w14:paraId="1DA5B3E3">
      <w:pPr>
        <w:keepNext w:val="0"/>
        <w:keepLines w:val="0"/>
        <w:pageBreakBefore w:val="0"/>
        <w:widowControl/>
        <w:kinsoku/>
        <w:wordWrap/>
        <w:overflowPunct/>
        <w:topLinePunct w:val="0"/>
        <w:autoSpaceDE/>
        <w:autoSpaceDN/>
        <w:bidi w:val="0"/>
        <w:spacing w:line="480" w:lineRule="exact"/>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000000"/>
          <w:sz w:val="24"/>
          <w:szCs w:val="24"/>
        </w:rPr>
        <w:t>在应急维修时，发现设备损坏而不能在24小时内恢复时，服务单位将免费提供相同或类似器材暂时代用。等故障设备修复好后，要与客户协商好一个最佳的重装调试时间（如下班白天非繁忙较安全时间段），</w:t>
      </w:r>
      <w:r>
        <w:rPr>
          <w:rFonts w:hint="eastAsia" w:ascii="宋体" w:hAnsi="宋体" w:eastAsia="宋体" w:cs="宋体"/>
          <w:b/>
          <w:color w:val="000000"/>
          <w:sz w:val="24"/>
          <w:szCs w:val="24"/>
        </w:rPr>
        <w:t>以保障客户系统运行的最高安全环境，达到一级风险单位的应用要求。</w:t>
      </w:r>
    </w:p>
    <w:p w14:paraId="1E5307EE">
      <w:pPr>
        <w:widowControl/>
        <w:ind w:firstLine="480" w:firstLineChars="200"/>
        <w:jc w:val="left"/>
        <w:rPr>
          <w:rFonts w:cs="宋体" w:asciiTheme="minorEastAsia" w:hAnsiTheme="minorEastAsia"/>
          <w:color w:val="000000"/>
          <w:kern w:val="0"/>
          <w:sz w:val="24"/>
          <w:szCs w:val="24"/>
        </w:rPr>
      </w:pPr>
    </w:p>
    <w:p w14:paraId="5D0C9253">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（2）商务要求</w:t>
      </w:r>
    </w:p>
    <w:tbl>
      <w:tblPr>
        <w:tblStyle w:val="7"/>
        <w:tblW w:w="9863" w:type="dxa"/>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898"/>
        <w:gridCol w:w="7965"/>
      </w:tblGrid>
      <w:tr w14:paraId="1E081BF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80" w:hRule="atLeast"/>
          <w:jc w:val="center"/>
        </w:trPr>
        <w:tc>
          <w:tcPr>
            <w:tcW w:w="1898" w:type="dxa"/>
            <w:vAlign w:val="center"/>
          </w:tcPr>
          <w:p w14:paraId="429AF789">
            <w:pPr>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标的提供的时间</w:t>
            </w:r>
          </w:p>
        </w:tc>
        <w:tc>
          <w:tcPr>
            <w:tcW w:w="7965" w:type="dxa"/>
            <w:vAlign w:val="center"/>
          </w:tcPr>
          <w:p w14:paraId="6073FA7E">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1.完成期：</w:t>
            </w:r>
            <w:r>
              <w:rPr>
                <w:rFonts w:hint="eastAsia" w:ascii="宋体" w:hAnsi="宋体" w:eastAsia="宋体" w:cs="宋体"/>
                <w:color w:val="auto"/>
                <w:sz w:val="24"/>
                <w:highlight w:val="none"/>
              </w:rPr>
              <w:t>自双方签订合同生效之日起</w:t>
            </w:r>
            <w:r>
              <w:rPr>
                <w:rFonts w:hint="eastAsia" w:ascii="宋体" w:hAnsi="宋体" w:eastAsia="宋体" w:cs="宋体"/>
                <w:color w:val="auto"/>
                <w:sz w:val="24"/>
                <w:highlight w:val="none"/>
                <w:lang w:val="en-US" w:eastAsia="zh-CN"/>
              </w:rPr>
              <w:t>90</w:t>
            </w:r>
            <w:r>
              <w:rPr>
                <w:rFonts w:hint="eastAsia" w:ascii="宋体" w:hAnsi="宋体" w:eastAsia="宋体" w:cs="宋体"/>
                <w:color w:val="auto"/>
                <w:sz w:val="24"/>
                <w:highlight w:val="none"/>
              </w:rPr>
              <w:t>个工作日之内，</w:t>
            </w:r>
            <w:r>
              <w:rPr>
                <w:rFonts w:hint="eastAsia" w:ascii="宋体" w:hAnsi="宋体" w:eastAsia="宋体" w:cs="宋体"/>
                <w:color w:val="auto"/>
                <w:sz w:val="24"/>
                <w:highlight w:val="none"/>
                <w:lang w:eastAsia="zh-CN"/>
              </w:rPr>
              <w:t>中标供应商</w:t>
            </w:r>
            <w:r>
              <w:rPr>
                <w:rFonts w:hint="eastAsia" w:ascii="宋体" w:hAnsi="宋体" w:eastAsia="宋体" w:cs="宋体"/>
                <w:color w:val="auto"/>
                <w:sz w:val="24"/>
                <w:highlight w:val="none"/>
              </w:rPr>
              <w:t>必须完成本项目的初步验收（包括完成项目的供货、运输、仓储、安装、调试、施工等工作），初步验收通过后进入为期30个工作日的试运行，试运行通过后进行项目最终验收。</w:t>
            </w:r>
          </w:p>
          <w:p w14:paraId="43270269">
            <w:pPr>
              <w:spacing w:line="44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2.质保期：项目完成验收合格之日起叁年。（产品有特殊要求的按实际需求执行）</w:t>
            </w:r>
          </w:p>
        </w:tc>
      </w:tr>
      <w:tr w14:paraId="183893A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80" w:hRule="atLeast"/>
          <w:jc w:val="center"/>
        </w:trPr>
        <w:tc>
          <w:tcPr>
            <w:tcW w:w="1898" w:type="dxa"/>
            <w:vAlign w:val="center"/>
          </w:tcPr>
          <w:p w14:paraId="018A3192">
            <w:pPr>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标的提供的地点</w:t>
            </w:r>
          </w:p>
        </w:tc>
        <w:tc>
          <w:tcPr>
            <w:tcW w:w="7965" w:type="dxa"/>
            <w:vAlign w:val="center"/>
          </w:tcPr>
          <w:p w14:paraId="3772872C">
            <w:pPr>
              <w:spacing w:line="440" w:lineRule="exact"/>
              <w:rPr>
                <w:rFonts w:ascii="宋体" w:hAnsi="宋体" w:eastAsia="宋体" w:cs="宋体"/>
                <w:color w:val="auto"/>
                <w:sz w:val="24"/>
                <w:highlight w:val="none"/>
              </w:rPr>
            </w:pPr>
            <w:r>
              <w:rPr>
                <w:rFonts w:hint="eastAsia" w:ascii="宋体" w:hAnsi="宋体" w:eastAsia="宋体" w:cs="宋体"/>
                <w:color w:val="auto"/>
                <w:sz w:val="24"/>
                <w:szCs w:val="24"/>
                <w:highlight w:val="none"/>
                <w:lang w:val="en-US" w:eastAsia="zh-CN"/>
              </w:rPr>
              <w:t>采购人指定地点</w:t>
            </w:r>
            <w:r>
              <w:rPr>
                <w:rFonts w:hint="eastAsia" w:ascii="宋体" w:hAnsi="宋体" w:eastAsia="宋体" w:cs="宋体"/>
                <w:color w:val="auto"/>
                <w:sz w:val="24"/>
                <w:szCs w:val="24"/>
                <w:highlight w:val="none"/>
                <w:lang w:eastAsia="zh-CN"/>
              </w:rPr>
              <w:t>。</w:t>
            </w:r>
          </w:p>
        </w:tc>
      </w:tr>
      <w:tr w14:paraId="1D15BB0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80" w:hRule="atLeast"/>
          <w:jc w:val="center"/>
        </w:trPr>
        <w:tc>
          <w:tcPr>
            <w:tcW w:w="1898" w:type="dxa"/>
            <w:vAlign w:val="center"/>
          </w:tcPr>
          <w:p w14:paraId="4D55B88A">
            <w:pPr>
              <w:spacing w:line="440" w:lineRule="exact"/>
              <w:jc w:val="center"/>
              <w:rPr>
                <w:rFonts w:ascii="宋体" w:hAnsi="宋体" w:eastAsia="宋体" w:cs="宋体"/>
                <w:color w:val="auto"/>
                <w:sz w:val="24"/>
                <w:highlight w:val="none"/>
              </w:rPr>
            </w:pPr>
            <w:r>
              <w:rPr>
                <w:rFonts w:hint="eastAsia" w:ascii="宋体" w:hAnsi="宋体" w:eastAsia="宋体" w:cs="宋体"/>
                <w:color w:val="auto"/>
                <w:sz w:val="24"/>
                <w:highlight w:val="none"/>
              </w:rPr>
              <w:t>付款方式</w:t>
            </w:r>
          </w:p>
        </w:tc>
        <w:tc>
          <w:tcPr>
            <w:tcW w:w="7965" w:type="dxa"/>
            <w:vAlign w:val="center"/>
          </w:tcPr>
          <w:p w14:paraId="4B1DC6BB">
            <w:pPr>
              <w:spacing w:line="44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（1）合同签订后在15个工作日内向中标供应商支付合同总价的30%作为预付款。</w:t>
            </w:r>
          </w:p>
          <w:p w14:paraId="63F8A1EF">
            <w:pPr>
              <w:spacing w:line="44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（2）货物到达采购人指定的地点并经采购人查验合格后，在15个工作日内向中标供应商支付合同总价的30%。</w:t>
            </w:r>
          </w:p>
          <w:p w14:paraId="4E943655">
            <w:pPr>
              <w:spacing w:line="44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（3）货物安装、调试完毕，经采购人验收合格后，在15个工作日内向中标供应商支付合同总价的40%。</w:t>
            </w:r>
          </w:p>
          <w:p w14:paraId="54F4AC87">
            <w:pPr>
              <w:spacing w:line="440" w:lineRule="exact"/>
              <w:rPr>
                <w:rFonts w:hint="eastAsia"/>
                <w:lang w:val="en-US" w:eastAsia="zh-CN"/>
              </w:rPr>
            </w:pPr>
            <w:r>
              <w:rPr>
                <w:rFonts w:hint="eastAsia" w:ascii="宋体" w:hAnsi="宋体" w:eastAsia="宋体" w:cs="宋体"/>
                <w:color w:val="auto"/>
                <w:sz w:val="24"/>
                <w:highlight w:val="none"/>
                <w:lang w:val="en-US" w:eastAsia="zh-CN"/>
              </w:rPr>
              <w:t>注：本项目资金来源为财政性资金，采购人在规定的付款时间为向相关支付部门提出办理财政支付申请手续的时间（不含政府支付部门审核的时间），在规定时间内提出支付申请手续后即视为采购人已经按期支付。如因政策或付款流程影响，拨款未能及时到位，采购人不承担逾期付款的责任，且中标人不得以此为由而不履行本合同约定的义务。否则，采购人有权按约定追究中标人的违约责任。</w:t>
            </w:r>
          </w:p>
        </w:tc>
      </w:tr>
      <w:tr w14:paraId="7A00A77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80" w:hRule="atLeast"/>
          <w:jc w:val="center"/>
        </w:trPr>
        <w:tc>
          <w:tcPr>
            <w:tcW w:w="1898" w:type="dxa"/>
            <w:vAlign w:val="center"/>
          </w:tcPr>
          <w:p w14:paraId="14D6F8AC">
            <w:pPr>
              <w:spacing w:line="440" w:lineRule="exact"/>
              <w:jc w:val="center"/>
              <w:rPr>
                <w:rFonts w:ascii="宋体" w:hAnsi="宋体" w:eastAsia="宋体" w:cs="宋体"/>
                <w:color w:val="auto"/>
                <w:sz w:val="24"/>
                <w:highlight w:val="none"/>
              </w:rPr>
            </w:pPr>
            <w:r>
              <w:rPr>
                <w:rFonts w:hint="eastAsia" w:ascii="宋体" w:hAnsi="宋体" w:eastAsia="宋体" w:cs="宋体"/>
                <w:color w:val="auto"/>
                <w:sz w:val="24"/>
                <w:highlight w:val="none"/>
              </w:rPr>
              <w:t>验收要求</w:t>
            </w:r>
          </w:p>
        </w:tc>
        <w:tc>
          <w:tcPr>
            <w:tcW w:w="7965" w:type="dxa"/>
            <w:vAlign w:val="center"/>
          </w:tcPr>
          <w:p w14:paraId="094EBE02">
            <w:pPr>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1期：</w:t>
            </w:r>
          </w:p>
          <w:p w14:paraId="1036E5EA">
            <w:pPr>
              <w:spacing w:line="440" w:lineRule="exact"/>
              <w:rPr>
                <w:rFonts w:ascii="宋体" w:hAnsi="宋体" w:eastAsia="宋体" w:cs="宋体"/>
                <w:color w:val="auto"/>
                <w:sz w:val="24"/>
                <w:highlight w:val="none"/>
              </w:rPr>
            </w:pPr>
            <w:r>
              <w:rPr>
                <w:rFonts w:hint="default" w:ascii="宋体" w:hAnsi="宋体" w:eastAsia="宋体" w:cs="宋体"/>
                <w:color w:val="auto"/>
                <w:sz w:val="24"/>
                <w:highlight w:val="none"/>
              </w:rPr>
              <w:t>符合相关法律法规规定及相关行业标准</w:t>
            </w:r>
          </w:p>
        </w:tc>
      </w:tr>
      <w:tr w14:paraId="26B59BA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80" w:hRule="atLeast"/>
          <w:jc w:val="center"/>
        </w:trPr>
        <w:tc>
          <w:tcPr>
            <w:tcW w:w="1898" w:type="dxa"/>
            <w:vAlign w:val="center"/>
          </w:tcPr>
          <w:p w14:paraId="693A8CA2">
            <w:pPr>
              <w:spacing w:line="440" w:lineRule="exact"/>
              <w:jc w:val="center"/>
              <w:rPr>
                <w:rFonts w:ascii="宋体" w:hAnsi="宋体" w:eastAsia="宋体" w:cs="宋体"/>
                <w:color w:val="auto"/>
                <w:sz w:val="24"/>
                <w:highlight w:val="none"/>
              </w:rPr>
            </w:pPr>
            <w:r>
              <w:rPr>
                <w:rFonts w:hint="eastAsia" w:ascii="宋体" w:hAnsi="宋体" w:eastAsia="宋体" w:cs="宋体"/>
                <w:color w:val="auto"/>
                <w:sz w:val="24"/>
                <w:highlight w:val="none"/>
              </w:rPr>
              <w:t>履约保证金</w:t>
            </w:r>
          </w:p>
        </w:tc>
        <w:tc>
          <w:tcPr>
            <w:tcW w:w="7965" w:type="dxa"/>
            <w:vAlign w:val="center"/>
          </w:tcPr>
          <w:p w14:paraId="1B402744">
            <w:pPr>
              <w:spacing w:line="440" w:lineRule="exact"/>
              <w:rPr>
                <w:rFonts w:ascii="宋体" w:hAnsi="宋体" w:eastAsia="宋体" w:cs="宋体"/>
                <w:color w:val="auto"/>
                <w:sz w:val="24"/>
                <w:highlight w:val="none"/>
              </w:rPr>
            </w:pPr>
            <w:r>
              <w:rPr>
                <w:rFonts w:hint="default" w:ascii="宋体" w:hAnsi="宋体" w:eastAsia="宋体" w:cs="宋体"/>
                <w:color w:val="auto"/>
                <w:sz w:val="24"/>
                <w:highlight w:val="none"/>
              </w:rPr>
              <w:t>不收取</w:t>
            </w:r>
          </w:p>
        </w:tc>
      </w:tr>
      <w:tr w14:paraId="1CF2812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80" w:hRule="atLeast"/>
          <w:jc w:val="center"/>
        </w:trPr>
        <w:tc>
          <w:tcPr>
            <w:tcW w:w="1898" w:type="dxa"/>
            <w:vAlign w:val="center"/>
          </w:tcPr>
          <w:p w14:paraId="093CB4D9">
            <w:pPr>
              <w:spacing w:line="440" w:lineRule="exact"/>
              <w:jc w:val="center"/>
              <w:rPr>
                <w:rFonts w:ascii="宋体" w:hAnsi="宋体" w:eastAsia="宋体" w:cs="宋体"/>
                <w:color w:val="auto"/>
                <w:sz w:val="24"/>
                <w:highlight w:val="none"/>
              </w:rPr>
            </w:pPr>
            <w:r>
              <w:rPr>
                <w:rFonts w:hint="eastAsia" w:ascii="宋体" w:hAnsi="宋体" w:eastAsia="宋体" w:cs="宋体"/>
                <w:color w:val="auto"/>
                <w:sz w:val="24"/>
                <w:highlight w:val="none"/>
              </w:rPr>
              <w:t>其他</w:t>
            </w:r>
          </w:p>
        </w:tc>
        <w:tc>
          <w:tcPr>
            <w:tcW w:w="7965" w:type="dxa"/>
            <w:vAlign w:val="center"/>
          </w:tcPr>
          <w:p w14:paraId="71ABC45B">
            <w:pPr>
              <w:spacing w:line="440" w:lineRule="exact"/>
              <w:rPr>
                <w:rFonts w:hint="default" w:ascii="宋体" w:hAnsi="宋体" w:eastAsia="宋体" w:cs="宋体"/>
                <w:color w:val="auto"/>
                <w:sz w:val="24"/>
                <w:highlight w:val="none"/>
              </w:rPr>
            </w:pPr>
            <w:r>
              <w:rPr>
                <w:rFonts w:hint="default" w:ascii="宋体" w:hAnsi="宋体" w:eastAsia="宋体" w:cs="宋体"/>
                <w:color w:val="auto"/>
                <w:sz w:val="24"/>
                <w:highlight w:val="none"/>
                <w:lang w:val="en-US"/>
              </w:rPr>
              <w:t>1.</w:t>
            </w:r>
            <w:r>
              <w:rPr>
                <w:rFonts w:hint="default" w:ascii="宋体" w:hAnsi="宋体" w:eastAsia="宋体" w:cs="宋体"/>
                <w:color w:val="auto"/>
                <w:sz w:val="24"/>
                <w:highlight w:val="none"/>
              </w:rPr>
              <w:t>在本项目合同期内发生的一切质量问题，采购人有权要求</w:t>
            </w:r>
            <w:r>
              <w:rPr>
                <w:rFonts w:hint="eastAsia" w:ascii="宋体" w:hAnsi="宋体" w:eastAsia="宋体" w:cs="宋体"/>
                <w:color w:val="auto"/>
                <w:sz w:val="24"/>
                <w:highlight w:val="none"/>
                <w:lang w:eastAsia="zh-CN"/>
              </w:rPr>
              <w:t>中标供应商</w:t>
            </w:r>
            <w:r>
              <w:rPr>
                <w:rFonts w:hint="default" w:ascii="宋体" w:hAnsi="宋体" w:eastAsia="宋体" w:cs="宋体"/>
                <w:color w:val="auto"/>
                <w:sz w:val="24"/>
                <w:highlight w:val="none"/>
              </w:rPr>
              <w:t>进行改进，期间所发生的一切费用由</w:t>
            </w:r>
            <w:r>
              <w:rPr>
                <w:rFonts w:hint="eastAsia" w:ascii="宋体" w:hAnsi="宋体" w:eastAsia="宋体" w:cs="宋体"/>
                <w:color w:val="auto"/>
                <w:sz w:val="24"/>
                <w:highlight w:val="none"/>
                <w:lang w:eastAsia="zh-CN"/>
              </w:rPr>
              <w:t>中标供应商</w:t>
            </w:r>
            <w:r>
              <w:rPr>
                <w:rFonts w:hint="default" w:ascii="宋体" w:hAnsi="宋体" w:eastAsia="宋体" w:cs="宋体"/>
                <w:color w:val="auto"/>
                <w:sz w:val="24"/>
                <w:highlight w:val="none"/>
              </w:rPr>
              <w:t>承担。</w:t>
            </w:r>
          </w:p>
          <w:p w14:paraId="5292F2A8">
            <w:pPr>
              <w:spacing w:line="440" w:lineRule="exact"/>
              <w:rPr>
                <w:rFonts w:hint="default" w:ascii="宋体" w:hAnsi="宋体" w:eastAsia="宋体" w:cs="宋体"/>
                <w:color w:val="auto"/>
                <w:sz w:val="24"/>
                <w:highlight w:val="none"/>
              </w:rPr>
            </w:pPr>
            <w:r>
              <w:rPr>
                <w:rFonts w:hint="default" w:ascii="宋体" w:hAnsi="宋体" w:eastAsia="宋体" w:cs="宋体"/>
                <w:color w:val="auto"/>
                <w:sz w:val="24"/>
                <w:highlight w:val="none"/>
                <w:lang w:val="en-US"/>
              </w:rPr>
              <w:t>2.</w:t>
            </w:r>
            <w:r>
              <w:rPr>
                <w:rFonts w:hint="eastAsia" w:ascii="宋体" w:hAnsi="宋体" w:eastAsia="宋体" w:cs="宋体"/>
                <w:color w:val="auto"/>
                <w:sz w:val="24"/>
                <w:highlight w:val="none"/>
                <w:lang w:eastAsia="zh-CN"/>
              </w:rPr>
              <w:t>招标文件</w:t>
            </w:r>
            <w:r>
              <w:rPr>
                <w:rFonts w:hint="default" w:ascii="宋体" w:hAnsi="宋体" w:eastAsia="宋体" w:cs="宋体"/>
                <w:color w:val="auto"/>
                <w:sz w:val="24"/>
                <w:highlight w:val="none"/>
              </w:rPr>
              <w:t>未尽事宜，将在合同签订或项目执行过程中双方协商确定，</w:t>
            </w:r>
            <w:r>
              <w:rPr>
                <w:rFonts w:hint="eastAsia" w:ascii="宋体" w:hAnsi="宋体" w:eastAsia="宋体" w:cs="宋体"/>
                <w:color w:val="auto"/>
                <w:sz w:val="24"/>
                <w:highlight w:val="none"/>
                <w:lang w:eastAsia="zh-CN"/>
              </w:rPr>
              <w:t>中标供应商</w:t>
            </w:r>
            <w:r>
              <w:rPr>
                <w:rFonts w:hint="default" w:ascii="宋体" w:hAnsi="宋体" w:eastAsia="宋体" w:cs="宋体"/>
                <w:color w:val="auto"/>
                <w:sz w:val="24"/>
                <w:highlight w:val="none"/>
              </w:rPr>
              <w:t>须无条件满足采购单位的合理要求。</w:t>
            </w:r>
          </w:p>
          <w:p w14:paraId="49A475BC">
            <w:pPr>
              <w:spacing w:line="440" w:lineRule="exac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w:t>
            </w:r>
            <w:r>
              <w:rPr>
                <w:rFonts w:hint="default" w:ascii="宋体" w:hAnsi="宋体" w:eastAsia="宋体" w:cs="宋体"/>
                <w:color w:val="auto"/>
                <w:sz w:val="24"/>
                <w:highlight w:val="none"/>
                <w:lang w:val="en-US" w:eastAsia="zh-CN"/>
              </w:rPr>
              <w:t>.</w:t>
            </w:r>
            <w:r>
              <w:rPr>
                <w:rFonts w:hint="default" w:ascii="宋体" w:hAnsi="宋体" w:eastAsia="宋体" w:cs="宋体"/>
                <w:color w:val="auto"/>
                <w:sz w:val="24"/>
                <w:highlight w:val="none"/>
                <w:lang w:eastAsia="zh-CN"/>
              </w:rPr>
              <w:t>拟投入本项目人员</w:t>
            </w:r>
            <w:r>
              <w:rPr>
                <w:rFonts w:hint="default" w:ascii="宋体" w:hAnsi="宋体" w:eastAsia="宋体" w:cs="宋体"/>
                <w:color w:val="auto"/>
                <w:sz w:val="24"/>
                <w:highlight w:val="none"/>
                <w:lang w:val="en-US" w:eastAsia="zh-CN"/>
              </w:rPr>
              <w:t>要求：</w:t>
            </w:r>
          </w:p>
          <w:p w14:paraId="187C5928">
            <w:pPr>
              <w:spacing w:line="440" w:lineRule="exact"/>
              <w:rPr>
                <w:rFonts w:hint="default" w:ascii="宋体" w:hAnsi="宋体" w:eastAsia="宋体" w:cs="宋体"/>
                <w:color w:val="auto"/>
                <w:sz w:val="24"/>
                <w:highlight w:val="none"/>
                <w:lang w:val="en-US" w:eastAsia="zh-Hans"/>
              </w:rPr>
            </w:pPr>
            <w:r>
              <w:rPr>
                <w:rFonts w:hint="default" w:ascii="宋体" w:hAnsi="宋体" w:eastAsia="宋体" w:cs="宋体"/>
                <w:color w:val="auto"/>
                <w:sz w:val="24"/>
                <w:highlight w:val="none"/>
                <w:lang w:val="en-US" w:eastAsia="zh-CN"/>
              </w:rPr>
              <w:t>（1）</w:t>
            </w:r>
            <w:r>
              <w:rPr>
                <w:rFonts w:hint="default" w:ascii="宋体" w:hAnsi="宋体" w:eastAsia="宋体" w:cs="宋体"/>
                <w:color w:val="auto"/>
                <w:sz w:val="24"/>
                <w:highlight w:val="none"/>
                <w:lang w:val="en-US" w:eastAsia="zh-Hans"/>
              </w:rPr>
              <w:t>投标人拟投入的本项目的项目经理（仅一人）：</w:t>
            </w:r>
          </w:p>
          <w:p w14:paraId="0687632A">
            <w:pPr>
              <w:spacing w:line="440" w:lineRule="exact"/>
              <w:rPr>
                <w:rFonts w:hint="default" w:ascii="宋体" w:hAnsi="宋体" w:eastAsia="宋体" w:cs="宋体"/>
                <w:color w:val="auto"/>
                <w:sz w:val="24"/>
                <w:highlight w:val="none"/>
                <w:lang w:val="en-US" w:eastAsia="zh-Hans"/>
              </w:rPr>
            </w:pPr>
            <w:r>
              <w:rPr>
                <w:rFonts w:hint="default" w:ascii="宋体" w:hAnsi="宋体" w:eastAsia="宋体" w:cs="宋体"/>
                <w:color w:val="auto"/>
                <w:sz w:val="24"/>
                <w:highlight w:val="none"/>
                <w:lang w:val="en-US" w:eastAsia="zh-Hans"/>
              </w:rPr>
              <w:t>具有</w:t>
            </w:r>
            <w:r>
              <w:rPr>
                <w:sz w:val="24"/>
                <w:szCs w:val="24"/>
                <w:highlight w:val="none"/>
              </w:rPr>
              <w:t>系统分析师、系统架构设计师、数据库系统工程师、网络工程师</w:t>
            </w:r>
            <w:r>
              <w:rPr>
                <w:rFonts w:hint="default" w:ascii="宋体" w:hAnsi="宋体" w:eastAsia="宋体" w:cs="宋体"/>
                <w:color w:val="auto"/>
                <w:sz w:val="24"/>
                <w:highlight w:val="none"/>
                <w:lang w:val="en-US" w:eastAsia="zh-Hans"/>
              </w:rPr>
              <w:t>；</w:t>
            </w:r>
          </w:p>
          <w:p w14:paraId="0F9FF5CB">
            <w:pPr>
              <w:spacing w:line="440" w:lineRule="exact"/>
              <w:rPr>
                <w:rFonts w:hint="default" w:ascii="宋体" w:hAnsi="宋体" w:eastAsia="宋体" w:cs="宋体"/>
                <w:color w:val="auto"/>
                <w:sz w:val="24"/>
                <w:highlight w:val="none"/>
                <w:lang w:val="en-US" w:eastAsia="zh-Hans"/>
              </w:rPr>
            </w:pPr>
            <w:r>
              <w:rPr>
                <w:rFonts w:hint="default" w:ascii="宋体" w:hAnsi="宋体" w:eastAsia="宋体" w:cs="宋体"/>
                <w:color w:val="auto"/>
                <w:sz w:val="24"/>
                <w:highlight w:val="none"/>
                <w:lang w:val="en-US" w:eastAsia="zh-CN"/>
              </w:rPr>
              <w:t>（2）</w:t>
            </w:r>
            <w:r>
              <w:rPr>
                <w:rFonts w:hint="default" w:ascii="宋体" w:hAnsi="宋体" w:eastAsia="宋体" w:cs="宋体"/>
                <w:color w:val="auto"/>
                <w:sz w:val="24"/>
                <w:highlight w:val="none"/>
                <w:lang w:val="en-US" w:eastAsia="zh-Hans"/>
              </w:rPr>
              <w:t>投标人拟投入的本项目的技术负责人（仅一人）进行评审：</w:t>
            </w:r>
          </w:p>
          <w:p w14:paraId="6269D4DE">
            <w:pPr>
              <w:spacing w:line="440" w:lineRule="exact"/>
              <w:rPr>
                <w:rFonts w:hint="default" w:ascii="宋体" w:hAnsi="宋体" w:eastAsia="宋体" w:cs="宋体"/>
                <w:color w:val="auto"/>
                <w:sz w:val="24"/>
                <w:highlight w:val="none"/>
                <w:lang w:val="en-US" w:eastAsia="zh-Hans"/>
              </w:rPr>
            </w:pPr>
            <w:r>
              <w:rPr>
                <w:rFonts w:hint="default" w:ascii="宋体" w:hAnsi="宋体" w:eastAsia="宋体" w:cs="宋体"/>
                <w:color w:val="auto"/>
                <w:sz w:val="24"/>
                <w:highlight w:val="none"/>
                <w:lang w:val="en-US" w:eastAsia="zh-Hans"/>
              </w:rPr>
              <w:t>①具有通信专业技术人员职业资格证书；</w:t>
            </w:r>
          </w:p>
          <w:p w14:paraId="697179D0">
            <w:pPr>
              <w:spacing w:line="440" w:lineRule="exact"/>
              <w:rPr>
                <w:rFonts w:hint="default" w:ascii="宋体" w:hAnsi="宋体" w:eastAsia="宋体" w:cs="宋体"/>
                <w:color w:val="auto"/>
                <w:sz w:val="24"/>
                <w:highlight w:val="none"/>
                <w:lang w:val="en-US" w:eastAsia="zh-Hans"/>
              </w:rPr>
            </w:pPr>
            <w:r>
              <w:rPr>
                <w:rFonts w:hint="default" w:ascii="宋体" w:hAnsi="宋体" w:eastAsia="宋体" w:cs="宋体"/>
                <w:color w:val="auto"/>
                <w:sz w:val="24"/>
                <w:highlight w:val="none"/>
                <w:lang w:val="en-US" w:eastAsia="zh-Hans"/>
              </w:rPr>
              <w:t>②具有信息系统项目管理师证书；</w:t>
            </w:r>
          </w:p>
          <w:p w14:paraId="1A0AD19B">
            <w:pPr>
              <w:spacing w:line="440" w:lineRule="exact"/>
              <w:rPr>
                <w:rFonts w:hint="default" w:ascii="宋体" w:hAnsi="宋体" w:eastAsia="宋体" w:cs="宋体"/>
                <w:color w:val="auto"/>
                <w:sz w:val="24"/>
                <w:highlight w:val="none"/>
                <w:lang w:val="en-US" w:eastAsia="zh-Hans"/>
              </w:rPr>
            </w:pPr>
            <w:r>
              <w:rPr>
                <w:rFonts w:hint="default" w:ascii="宋体" w:hAnsi="宋体" w:eastAsia="宋体" w:cs="宋体"/>
                <w:color w:val="auto"/>
                <w:sz w:val="24"/>
                <w:highlight w:val="none"/>
                <w:lang w:val="en-US" w:eastAsia="zh-CN"/>
              </w:rPr>
              <w:t>（3）</w:t>
            </w:r>
            <w:r>
              <w:rPr>
                <w:rFonts w:hint="default" w:ascii="宋体" w:hAnsi="宋体" w:eastAsia="宋体" w:cs="宋体"/>
                <w:color w:val="auto"/>
                <w:sz w:val="24"/>
                <w:highlight w:val="none"/>
                <w:lang w:val="en-US" w:eastAsia="zh-Hans"/>
              </w:rPr>
              <w:t>投标人拟投入的本项目服务人员（项目经理、技术负责人除外）：</w:t>
            </w:r>
          </w:p>
          <w:p w14:paraId="5533B166">
            <w:pPr>
              <w:spacing w:line="440" w:lineRule="exact"/>
              <w:rPr>
                <w:rFonts w:hint="default" w:ascii="宋体" w:hAnsi="宋体" w:eastAsia="宋体" w:cs="宋体"/>
                <w:color w:val="auto"/>
                <w:sz w:val="24"/>
                <w:highlight w:val="none"/>
                <w:lang w:val="en-US" w:eastAsia="zh-CN"/>
              </w:rPr>
            </w:pPr>
            <w:r>
              <w:rPr>
                <w:rFonts w:hint="default" w:ascii="宋体" w:hAnsi="宋体" w:eastAsia="宋体" w:cs="宋体"/>
                <w:color w:val="auto"/>
                <w:sz w:val="24"/>
                <w:highlight w:val="none"/>
                <w:lang w:val="en-US" w:eastAsia="zh-Hans"/>
              </w:rPr>
              <w:t>具有中级或以上工程师证书（专业为通信类或网络类或电子类）。</w:t>
            </w:r>
          </w:p>
          <w:p w14:paraId="79150AC5">
            <w:pPr>
              <w:spacing w:line="440" w:lineRule="exact"/>
              <w:rPr>
                <w:rFonts w:hint="default" w:ascii="宋体" w:hAnsi="宋体" w:eastAsia="宋体" w:cs="宋体"/>
                <w:color w:val="auto"/>
                <w:sz w:val="24"/>
                <w:highlight w:val="none"/>
              </w:rPr>
            </w:pPr>
            <w:r>
              <w:rPr>
                <w:rFonts w:hint="eastAsia" w:ascii="宋体" w:hAnsi="宋体" w:eastAsia="宋体" w:cs="宋体"/>
                <w:color w:val="auto"/>
                <w:sz w:val="24"/>
                <w:highlight w:val="none"/>
                <w:lang w:val="en-US" w:eastAsia="zh-CN"/>
              </w:rPr>
              <w:t>4</w:t>
            </w:r>
            <w:r>
              <w:rPr>
                <w:rFonts w:hint="default" w:ascii="宋体" w:hAnsi="宋体" w:eastAsia="宋体" w:cs="宋体"/>
                <w:color w:val="auto"/>
                <w:sz w:val="24"/>
                <w:highlight w:val="none"/>
                <w:lang w:val="en-US" w:eastAsia="zh-CN"/>
              </w:rPr>
              <w:t>.投标人须根据本项目制定完善的工作方案，包括但不限于：整体实施方案、售后服务方案、应急保障方案等相关内容。</w:t>
            </w:r>
          </w:p>
        </w:tc>
      </w:tr>
    </w:tbl>
    <w:p w14:paraId="024C8FD6">
      <w:pPr>
        <w:rPr>
          <w:rFonts w:ascii="仿宋" w:hAnsi="仿宋" w:eastAsia="仿宋" w:cs="宋体"/>
          <w:color w:val="000000"/>
          <w:kern w:val="0"/>
          <w:sz w:val="27"/>
          <w:szCs w:val="27"/>
        </w:rPr>
      </w:pPr>
      <w:r>
        <w:rPr>
          <w:rFonts w:ascii="仿宋" w:hAnsi="仿宋" w:eastAsia="仿宋" w:cs="宋体"/>
          <w:color w:val="000000"/>
          <w:kern w:val="0"/>
          <w:sz w:val="27"/>
          <w:szCs w:val="27"/>
        </w:rPr>
        <w:br w:type="page"/>
      </w:r>
    </w:p>
    <w:p w14:paraId="7E9FA9C4">
      <w:pPr>
        <w:widowControl/>
        <w:jc w:val="center"/>
        <w:rPr>
          <w:rFonts w:ascii="仿宋" w:hAnsi="仿宋" w:eastAsia="仿宋" w:cs="宋体"/>
          <w:color w:val="000000"/>
          <w:kern w:val="0"/>
          <w:sz w:val="27"/>
          <w:szCs w:val="27"/>
        </w:rPr>
      </w:pPr>
    </w:p>
    <w:p w14:paraId="68722C81">
      <w:pPr>
        <w:widowControl/>
        <w:jc w:val="center"/>
        <w:rPr>
          <w:rFonts w:ascii="仿宋" w:hAnsi="仿宋" w:eastAsia="仿宋" w:cs="宋体"/>
          <w:color w:val="000000"/>
          <w:kern w:val="0"/>
          <w:sz w:val="27"/>
          <w:szCs w:val="27"/>
        </w:rPr>
      </w:pPr>
    </w:p>
    <w:p w14:paraId="529C6B57">
      <w:pPr>
        <w:widowControl/>
        <w:jc w:val="center"/>
        <w:rPr>
          <w:rFonts w:ascii="仿宋" w:hAnsi="仿宋" w:eastAsia="仿宋" w:cs="宋体"/>
          <w:color w:val="000000"/>
          <w:kern w:val="0"/>
          <w:sz w:val="27"/>
          <w:szCs w:val="27"/>
        </w:rPr>
      </w:pPr>
    </w:p>
    <w:p w14:paraId="3E0D9963">
      <w:pPr>
        <w:widowControl/>
        <w:jc w:val="center"/>
        <w:rPr>
          <w:rFonts w:ascii="仿宋" w:hAnsi="仿宋" w:eastAsia="仿宋" w:cs="宋体"/>
          <w:color w:val="000000"/>
          <w:kern w:val="0"/>
          <w:sz w:val="27"/>
          <w:szCs w:val="27"/>
        </w:rPr>
      </w:pPr>
    </w:p>
    <w:p w14:paraId="1A04DC9D">
      <w:pPr>
        <w:widowControl/>
        <w:jc w:val="center"/>
        <w:rPr>
          <w:rFonts w:ascii="仿宋" w:hAnsi="仿宋" w:eastAsia="仿宋" w:cs="宋体"/>
          <w:color w:val="000000"/>
          <w:kern w:val="0"/>
          <w:sz w:val="27"/>
          <w:szCs w:val="27"/>
        </w:rPr>
      </w:pPr>
    </w:p>
    <w:p w14:paraId="0D2F44A7">
      <w:pPr>
        <w:widowControl/>
        <w:spacing w:line="360" w:lineRule="auto"/>
        <w:jc w:val="center"/>
        <w:rPr>
          <w:rFonts w:ascii="仿宋" w:hAnsi="仿宋" w:eastAsia="仿宋" w:cs="宋体"/>
          <w:b/>
          <w:color w:val="000000"/>
          <w:kern w:val="0"/>
          <w:sz w:val="48"/>
          <w:szCs w:val="27"/>
        </w:rPr>
      </w:pPr>
      <w:r>
        <w:rPr>
          <w:rFonts w:ascii="仿宋" w:hAnsi="仿宋" w:eastAsia="仿宋" w:cs="宋体"/>
          <w:b/>
          <w:color w:val="000000"/>
          <w:kern w:val="0"/>
          <w:sz w:val="48"/>
          <w:szCs w:val="27"/>
        </w:rPr>
        <w:t>政府采购项目</w:t>
      </w:r>
    </w:p>
    <w:p w14:paraId="4E90E80E">
      <w:pPr>
        <w:widowControl/>
        <w:spacing w:line="360" w:lineRule="auto"/>
        <w:jc w:val="center"/>
        <w:rPr>
          <w:rFonts w:ascii="仿宋" w:hAnsi="仿宋" w:eastAsia="仿宋" w:cs="宋体"/>
          <w:b/>
          <w:color w:val="000000"/>
          <w:kern w:val="0"/>
          <w:sz w:val="48"/>
          <w:szCs w:val="27"/>
        </w:rPr>
      </w:pPr>
      <w:r>
        <w:rPr>
          <w:rFonts w:ascii="仿宋" w:hAnsi="仿宋" w:eastAsia="仿宋" w:cs="宋体"/>
          <w:b/>
          <w:color w:val="000000"/>
          <w:kern w:val="0"/>
          <w:sz w:val="48"/>
          <w:szCs w:val="27"/>
        </w:rPr>
        <w:t>采购实施计划</w:t>
      </w:r>
    </w:p>
    <w:p w14:paraId="51FBFD7A">
      <w:pPr>
        <w:widowControl/>
        <w:jc w:val="center"/>
        <w:rPr>
          <w:rFonts w:ascii="仿宋" w:hAnsi="仿宋" w:eastAsia="仿宋" w:cs="宋体"/>
          <w:color w:val="000000"/>
          <w:kern w:val="0"/>
          <w:sz w:val="27"/>
          <w:szCs w:val="27"/>
        </w:rPr>
      </w:pPr>
    </w:p>
    <w:p w14:paraId="178434FC">
      <w:pPr>
        <w:widowControl/>
        <w:jc w:val="center"/>
        <w:rPr>
          <w:rFonts w:ascii="仿宋" w:hAnsi="仿宋" w:eastAsia="仿宋" w:cs="宋体"/>
          <w:color w:val="000000"/>
          <w:kern w:val="0"/>
          <w:sz w:val="27"/>
          <w:szCs w:val="27"/>
        </w:rPr>
      </w:pPr>
    </w:p>
    <w:p w14:paraId="33DD643E">
      <w:pPr>
        <w:widowControl/>
        <w:jc w:val="center"/>
        <w:rPr>
          <w:rFonts w:ascii="仿宋" w:hAnsi="仿宋" w:eastAsia="仿宋" w:cs="宋体"/>
          <w:color w:val="000000"/>
          <w:kern w:val="0"/>
          <w:sz w:val="27"/>
          <w:szCs w:val="27"/>
        </w:rPr>
      </w:pPr>
    </w:p>
    <w:p w14:paraId="26E00856">
      <w:pPr>
        <w:widowControl/>
        <w:jc w:val="center"/>
        <w:rPr>
          <w:rFonts w:ascii="仿宋" w:hAnsi="仿宋" w:eastAsia="仿宋" w:cs="宋体"/>
          <w:color w:val="000000"/>
          <w:kern w:val="0"/>
          <w:sz w:val="27"/>
          <w:szCs w:val="27"/>
        </w:rPr>
      </w:pPr>
    </w:p>
    <w:p w14:paraId="51A45072">
      <w:pPr>
        <w:widowControl/>
        <w:jc w:val="center"/>
        <w:rPr>
          <w:rFonts w:ascii="仿宋" w:hAnsi="仿宋" w:eastAsia="仿宋" w:cs="宋体"/>
          <w:color w:val="000000"/>
          <w:kern w:val="0"/>
          <w:sz w:val="27"/>
          <w:szCs w:val="27"/>
        </w:rPr>
      </w:pPr>
    </w:p>
    <w:p w14:paraId="1AC5C9F5">
      <w:pPr>
        <w:widowControl/>
        <w:jc w:val="center"/>
        <w:rPr>
          <w:rFonts w:ascii="仿宋" w:hAnsi="仿宋" w:eastAsia="仿宋" w:cs="宋体"/>
          <w:color w:val="000000"/>
          <w:kern w:val="0"/>
          <w:sz w:val="27"/>
          <w:szCs w:val="27"/>
        </w:rPr>
      </w:pPr>
    </w:p>
    <w:p w14:paraId="17F90BFD">
      <w:pPr>
        <w:widowControl/>
        <w:jc w:val="center"/>
        <w:rPr>
          <w:rFonts w:ascii="仿宋" w:hAnsi="仿宋" w:eastAsia="仿宋" w:cs="宋体"/>
          <w:color w:val="000000"/>
          <w:kern w:val="0"/>
          <w:sz w:val="27"/>
          <w:szCs w:val="27"/>
        </w:rPr>
      </w:pPr>
    </w:p>
    <w:p w14:paraId="215A4FF3">
      <w:pPr>
        <w:widowControl/>
        <w:ind w:left="1558" w:leftChars="742"/>
        <w:jc w:val="left"/>
        <w:rPr>
          <w:rFonts w:ascii="仿宋" w:hAnsi="仿宋" w:eastAsia="仿宋" w:cs="宋体"/>
          <w:color w:val="000000"/>
          <w:kern w:val="0"/>
          <w:sz w:val="27"/>
          <w:szCs w:val="27"/>
        </w:rPr>
      </w:pPr>
      <w:r>
        <w:rPr>
          <w:rFonts w:ascii="仿宋" w:hAnsi="仿宋" w:eastAsia="仿宋" w:cs="宋体"/>
          <w:color w:val="000000"/>
          <w:kern w:val="0"/>
          <w:sz w:val="27"/>
          <w:szCs w:val="27"/>
        </w:rPr>
        <w:t>项目名称：</w:t>
      </w:r>
      <w:r>
        <w:rPr>
          <w:rFonts w:hint="eastAsia" w:ascii="宋体" w:hAnsi="宋体" w:eastAsia="宋体" w:cs="宋体"/>
          <w:color w:val="000000"/>
          <w:kern w:val="0"/>
          <w:sz w:val="27"/>
          <w:szCs w:val="27"/>
          <w:u w:val="single"/>
        </w:rPr>
        <w:t xml:space="preserve"> </w:t>
      </w:r>
      <w:r>
        <w:rPr>
          <w:rFonts w:hint="eastAsia" w:ascii="宋体" w:hAnsi="宋体" w:eastAsia="宋体" w:cs="宋体"/>
          <w:sz w:val="27"/>
          <w:szCs w:val="27"/>
          <w:highlight w:val="none"/>
          <w:u w:val="single"/>
        </w:rPr>
        <w:t>2026年塘厦镇鼎湖科技园周边道路安装交通信号灯、电子监控抓拍设备建设项目</w:t>
      </w:r>
      <w:r>
        <w:rPr>
          <w:rFonts w:hint="eastAsia" w:ascii="宋体" w:hAnsi="宋体" w:eastAsia="宋体" w:cs="宋体"/>
          <w:color w:val="000000"/>
          <w:kern w:val="0"/>
          <w:sz w:val="27"/>
          <w:szCs w:val="27"/>
          <w:u w:val="single"/>
        </w:rPr>
        <w:t xml:space="preserve"> </w:t>
      </w:r>
    </w:p>
    <w:p w14:paraId="0810017F">
      <w:pPr>
        <w:widowControl/>
        <w:ind w:left="1558" w:leftChars="742"/>
        <w:jc w:val="left"/>
        <w:rPr>
          <w:rFonts w:ascii="仿宋" w:hAnsi="仿宋" w:eastAsia="仿宋" w:cs="宋体"/>
          <w:color w:val="000000"/>
          <w:kern w:val="0"/>
          <w:sz w:val="27"/>
          <w:szCs w:val="27"/>
        </w:rPr>
      </w:pPr>
      <w:r>
        <w:rPr>
          <w:rFonts w:ascii="仿宋" w:hAnsi="仿宋" w:eastAsia="仿宋" w:cs="宋体"/>
          <w:color w:val="000000"/>
          <w:kern w:val="0"/>
          <w:sz w:val="27"/>
          <w:szCs w:val="27"/>
        </w:rPr>
        <w:t>采购单位：</w:t>
      </w:r>
      <w:r>
        <w:rPr>
          <w:rFonts w:hint="eastAsia" w:ascii="宋体" w:hAnsi="宋体" w:eastAsia="宋体" w:cs="宋体"/>
          <w:color w:val="000000"/>
          <w:kern w:val="0"/>
          <w:sz w:val="27"/>
          <w:szCs w:val="27"/>
          <w:u w:val="single"/>
        </w:rPr>
        <w:t xml:space="preserve"> </w:t>
      </w:r>
      <w:r>
        <w:rPr>
          <w:rFonts w:hint="eastAsia" w:ascii="宋体" w:hAnsi="宋体" w:eastAsia="宋体" w:cs="宋体"/>
          <w:color w:val="000000"/>
          <w:kern w:val="0"/>
          <w:sz w:val="27"/>
          <w:szCs w:val="27"/>
          <w:u w:val="single"/>
          <w:lang w:eastAsia="zh-CN"/>
        </w:rPr>
        <w:t>东莞市公安局交通管理支队塘厦大队</w:t>
      </w:r>
      <w:r>
        <w:rPr>
          <w:rFonts w:hint="eastAsia" w:ascii="宋体" w:hAnsi="宋体" w:eastAsia="宋体" w:cs="宋体"/>
          <w:color w:val="000000"/>
          <w:kern w:val="0"/>
          <w:sz w:val="27"/>
          <w:szCs w:val="27"/>
          <w:u w:val="single"/>
        </w:rPr>
        <w:t xml:space="preserve"> </w:t>
      </w:r>
    </w:p>
    <w:p w14:paraId="0402F0FB">
      <w:pPr>
        <w:widowControl/>
        <w:ind w:left="1558" w:leftChars="742"/>
        <w:jc w:val="left"/>
        <w:rPr>
          <w:rFonts w:ascii="仿宋" w:hAnsi="仿宋" w:eastAsia="仿宋" w:cs="宋体"/>
          <w:color w:val="000000"/>
          <w:kern w:val="0"/>
          <w:sz w:val="27"/>
          <w:szCs w:val="27"/>
        </w:rPr>
      </w:pPr>
      <w:r>
        <w:rPr>
          <w:rFonts w:ascii="仿宋" w:hAnsi="仿宋" w:eastAsia="仿宋" w:cs="宋体"/>
          <w:color w:val="000000"/>
          <w:kern w:val="0"/>
          <w:sz w:val="27"/>
          <w:szCs w:val="27"/>
        </w:rPr>
        <w:t>编制单位：</w:t>
      </w:r>
      <w:r>
        <w:rPr>
          <w:rFonts w:hint="eastAsia" w:ascii="宋体" w:hAnsi="宋体" w:eastAsia="宋体" w:cs="宋体"/>
          <w:color w:val="000000"/>
          <w:kern w:val="0"/>
          <w:sz w:val="27"/>
          <w:szCs w:val="27"/>
          <w:u w:val="single"/>
        </w:rPr>
        <w:t xml:space="preserve"> </w:t>
      </w:r>
      <w:r>
        <w:rPr>
          <w:rFonts w:hint="eastAsia" w:ascii="宋体" w:hAnsi="宋体" w:eastAsia="宋体" w:cs="宋体"/>
          <w:color w:val="000000"/>
          <w:kern w:val="0"/>
          <w:sz w:val="27"/>
          <w:szCs w:val="27"/>
          <w:u w:val="single"/>
          <w:lang w:eastAsia="zh-CN"/>
        </w:rPr>
        <w:t>东莞市公安局交通管理支队塘厦大队</w:t>
      </w:r>
      <w:r>
        <w:rPr>
          <w:rFonts w:hint="eastAsia" w:ascii="宋体" w:hAnsi="宋体" w:eastAsia="宋体" w:cs="宋体"/>
          <w:color w:val="000000"/>
          <w:kern w:val="0"/>
          <w:sz w:val="27"/>
          <w:szCs w:val="27"/>
          <w:u w:val="single"/>
        </w:rPr>
        <w:t xml:space="preserve"> </w:t>
      </w:r>
    </w:p>
    <w:p w14:paraId="6898BCB1">
      <w:pPr>
        <w:widowControl/>
        <w:ind w:left="1558" w:leftChars="742"/>
        <w:jc w:val="left"/>
        <w:rPr>
          <w:rFonts w:ascii="仿宋" w:hAnsi="仿宋" w:eastAsia="仿宋" w:cs="宋体"/>
          <w:color w:val="000000"/>
          <w:kern w:val="0"/>
          <w:sz w:val="27"/>
          <w:szCs w:val="27"/>
        </w:rPr>
      </w:pPr>
      <w:r>
        <w:rPr>
          <w:rFonts w:ascii="仿宋" w:hAnsi="仿宋" w:eastAsia="仿宋" w:cs="宋体"/>
          <w:color w:val="000000"/>
          <w:kern w:val="0"/>
          <w:sz w:val="27"/>
          <w:szCs w:val="27"/>
        </w:rPr>
        <w:t>编制时间：</w:t>
      </w:r>
      <w:r>
        <w:rPr>
          <w:rFonts w:hint="eastAsia" w:ascii="宋体" w:hAnsi="宋体" w:eastAsia="宋体" w:cs="宋体"/>
          <w:color w:val="000000"/>
          <w:kern w:val="0"/>
          <w:sz w:val="27"/>
          <w:szCs w:val="27"/>
          <w:u w:val="single"/>
        </w:rPr>
        <w:t xml:space="preserve"> </w:t>
      </w:r>
      <w:r>
        <w:rPr>
          <w:rFonts w:hint="eastAsia" w:ascii="宋体" w:hAnsi="宋体" w:eastAsia="宋体" w:cs="宋体"/>
          <w:color w:val="000000"/>
          <w:kern w:val="0"/>
          <w:sz w:val="27"/>
          <w:szCs w:val="27"/>
          <w:u w:val="single"/>
          <w:lang w:val="en-US" w:eastAsia="zh-CN"/>
        </w:rPr>
        <w:t>2026</w:t>
      </w:r>
      <w:r>
        <w:rPr>
          <w:rFonts w:hint="eastAsia" w:ascii="宋体" w:hAnsi="宋体" w:eastAsia="宋体" w:cs="宋体"/>
          <w:color w:val="000000"/>
          <w:kern w:val="0"/>
          <w:sz w:val="27"/>
          <w:szCs w:val="27"/>
          <w:u w:val="single"/>
        </w:rPr>
        <w:t>年</w:t>
      </w:r>
      <w:r>
        <w:rPr>
          <w:rFonts w:hint="eastAsia" w:ascii="宋体" w:hAnsi="宋体" w:eastAsia="宋体" w:cs="宋体"/>
          <w:color w:val="000000"/>
          <w:kern w:val="0"/>
          <w:sz w:val="27"/>
          <w:szCs w:val="27"/>
          <w:u w:val="single"/>
          <w:lang w:val="en-US" w:eastAsia="zh-CN"/>
        </w:rPr>
        <w:t>1</w:t>
      </w:r>
      <w:r>
        <w:rPr>
          <w:rFonts w:hint="eastAsia" w:ascii="宋体" w:hAnsi="宋体" w:eastAsia="宋体" w:cs="宋体"/>
          <w:color w:val="000000"/>
          <w:kern w:val="0"/>
          <w:sz w:val="27"/>
          <w:szCs w:val="27"/>
          <w:u w:val="single"/>
        </w:rPr>
        <w:t xml:space="preserve">月 </w:t>
      </w:r>
    </w:p>
    <w:p w14:paraId="518FB824">
      <w:pPr>
        <w:widowControl/>
        <w:jc w:val="left"/>
        <w:rPr>
          <w:rFonts w:ascii="宋体" w:hAnsi="宋体" w:eastAsia="宋体" w:cs="宋体"/>
          <w:color w:val="000000"/>
          <w:kern w:val="0"/>
          <w:sz w:val="27"/>
          <w:szCs w:val="27"/>
        </w:rPr>
      </w:pPr>
    </w:p>
    <w:p w14:paraId="62C66B71">
      <w:pPr>
        <w:widowControl/>
        <w:jc w:val="left"/>
        <w:rPr>
          <w:rFonts w:ascii="仿宋" w:hAnsi="仿宋" w:eastAsia="仿宋" w:cs="宋体"/>
          <w:kern w:val="0"/>
          <w:sz w:val="24"/>
          <w:szCs w:val="24"/>
        </w:rPr>
      </w:pPr>
    </w:p>
    <w:p w14:paraId="6AC8D2FE">
      <w:pPr>
        <w:widowControl/>
        <w:jc w:val="left"/>
        <w:rPr>
          <w:rFonts w:ascii="仿宋" w:hAnsi="仿宋" w:eastAsia="仿宋" w:cs="宋体"/>
          <w:color w:val="000000"/>
          <w:kern w:val="0"/>
          <w:sz w:val="27"/>
          <w:szCs w:val="27"/>
        </w:rPr>
      </w:pPr>
      <w:r>
        <w:rPr>
          <w:rFonts w:ascii="仿宋" w:hAnsi="仿宋" w:eastAsia="仿宋" w:cs="宋体"/>
          <w:color w:val="000000"/>
          <w:kern w:val="0"/>
          <w:sz w:val="27"/>
          <w:szCs w:val="27"/>
        </w:rPr>
        <w:br w:type="page"/>
      </w:r>
    </w:p>
    <w:p w14:paraId="6121049A">
      <w:pPr>
        <w:widowControl/>
        <w:jc w:val="center"/>
        <w:rPr>
          <w:rFonts w:cs="宋体" w:asciiTheme="minorEastAsia" w:hAnsiTheme="minorEastAsia"/>
          <w:b/>
          <w:color w:val="000000"/>
          <w:kern w:val="0"/>
          <w:sz w:val="24"/>
          <w:szCs w:val="24"/>
        </w:rPr>
      </w:pPr>
      <w:r>
        <w:rPr>
          <w:rFonts w:cs="宋体" w:asciiTheme="minorEastAsia" w:hAnsiTheme="minorEastAsia"/>
          <w:b/>
          <w:color w:val="000000"/>
          <w:kern w:val="0"/>
          <w:sz w:val="24"/>
          <w:szCs w:val="24"/>
        </w:rPr>
        <w:t>编 制 说 明</w:t>
      </w:r>
    </w:p>
    <w:p w14:paraId="5FC8CA78">
      <w:pPr>
        <w:widowControl/>
        <w:spacing w:line="360" w:lineRule="auto"/>
        <w:ind w:firstLine="480" w:firstLineChars="200"/>
        <w:jc w:val="left"/>
        <w:rPr>
          <w:rFonts w:cs="宋体" w:asciiTheme="minorEastAsia" w:hAnsiTheme="minorEastAsia"/>
          <w:color w:val="000000"/>
          <w:kern w:val="0"/>
          <w:sz w:val="24"/>
          <w:szCs w:val="24"/>
        </w:rPr>
      </w:pPr>
    </w:p>
    <w:p w14:paraId="26679DB4">
      <w:pPr>
        <w:widowControl/>
        <w:spacing w:line="360" w:lineRule="auto"/>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一、采购单位可以自行组织编制采购实施计划，也可以委托采购代理机构或者其他第三方机构编制。</w:t>
      </w:r>
    </w:p>
    <w:p w14:paraId="4244389B">
      <w:pPr>
        <w:widowControl/>
        <w:spacing w:line="360" w:lineRule="auto"/>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二、编制的采购实施计划应当符合《财政部关于印发政府采购需求管理办法的通知》（财库〔2021〕22号）要求及政府采购的相关规定。</w:t>
      </w:r>
    </w:p>
    <w:p w14:paraId="5CA8FC5B">
      <w:pPr>
        <w:widowControl/>
        <w:spacing w:line="360" w:lineRule="auto"/>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三、斜体字部分属于提醒内容，编制时应删除。</w:t>
      </w:r>
    </w:p>
    <w:p w14:paraId="2F296F30">
      <w:pPr>
        <w:widowControl/>
        <w:spacing w:line="360" w:lineRule="auto"/>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四、对不适用的内容应删除，并调整相应序号。</w:t>
      </w:r>
    </w:p>
    <w:p w14:paraId="6DB8C87E">
      <w:pPr>
        <w:widowControl/>
        <w:jc w:val="left"/>
        <w:rPr>
          <w:rFonts w:cs="宋体" w:asciiTheme="minorEastAsia" w:hAnsiTheme="minorEastAsia"/>
          <w:kern w:val="0"/>
          <w:sz w:val="24"/>
          <w:szCs w:val="24"/>
        </w:rPr>
      </w:pPr>
      <w:r>
        <w:rPr>
          <w:rFonts w:cs="宋体" w:asciiTheme="minorEastAsia" w:hAnsiTheme="minorEastAsia"/>
          <w:color w:val="000000"/>
          <w:kern w:val="0"/>
          <w:sz w:val="24"/>
          <w:szCs w:val="24"/>
          <w:shd w:val="clear" w:color="auto" w:fill="FFFFFF"/>
        </w:rPr>
        <w:br w:type="textWrapping" w:clear="all"/>
      </w:r>
    </w:p>
    <w:p w14:paraId="5C2684CB">
      <w:pPr>
        <w:widowControl/>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br w:type="page"/>
      </w:r>
    </w:p>
    <w:p w14:paraId="152C2A74">
      <w:pPr>
        <w:widowControl/>
        <w:ind w:firstLine="482" w:firstLineChars="200"/>
        <w:jc w:val="left"/>
        <w:rPr>
          <w:rFonts w:cs="宋体" w:asciiTheme="minorEastAsia" w:hAnsiTheme="minorEastAsia"/>
          <w:b/>
          <w:color w:val="000000"/>
          <w:kern w:val="0"/>
          <w:sz w:val="24"/>
          <w:szCs w:val="24"/>
        </w:rPr>
      </w:pPr>
      <w:r>
        <w:rPr>
          <w:rFonts w:cs="宋体" w:asciiTheme="minorEastAsia" w:hAnsiTheme="minorEastAsia"/>
          <w:b/>
          <w:color w:val="000000"/>
          <w:kern w:val="0"/>
          <w:sz w:val="24"/>
          <w:szCs w:val="24"/>
        </w:rPr>
        <w:t>一、合同订立安排</w:t>
      </w:r>
    </w:p>
    <w:p w14:paraId="38D6D77A">
      <w:pPr>
        <w:widowControl/>
        <w:ind w:firstLine="482" w:firstLineChars="200"/>
        <w:jc w:val="left"/>
        <w:rPr>
          <w:rFonts w:cs="宋体" w:asciiTheme="minorEastAsia" w:hAnsiTheme="minorEastAsia"/>
          <w:b/>
          <w:color w:val="000000"/>
          <w:kern w:val="0"/>
          <w:sz w:val="24"/>
          <w:szCs w:val="24"/>
        </w:rPr>
      </w:pPr>
      <w:r>
        <w:rPr>
          <w:rFonts w:cs="宋体" w:asciiTheme="minorEastAsia" w:hAnsiTheme="minorEastAsia"/>
          <w:b/>
          <w:color w:val="000000"/>
          <w:kern w:val="0"/>
          <w:sz w:val="24"/>
          <w:szCs w:val="24"/>
        </w:rPr>
        <w:t>（一）开展采购活动的时间安排</w:t>
      </w:r>
    </w:p>
    <w:tbl>
      <w:tblPr>
        <w:tblStyle w:val="7"/>
        <w:tblW w:w="802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76"/>
        <w:gridCol w:w="5851"/>
      </w:tblGrid>
      <w:tr w14:paraId="0E92FE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 w:hRule="atLeast"/>
          <w:jc w:val="center"/>
        </w:trPr>
        <w:tc>
          <w:tcPr>
            <w:tcW w:w="2176" w:type="dxa"/>
            <w:vAlign w:val="center"/>
          </w:tcPr>
          <w:p w14:paraId="7F67F05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"http://zbb.snnu.edu.cn/sfw_cms/e?page=cms.detail&amp;cid=44566&amp;nextcid=44566&amp;aid=6530" \t "_blank"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意向公开时间</w:t>
            </w:r>
            <w:r>
              <w:rPr>
                <w:rFonts w:hint="eastAsia" w:ascii="宋体" w:hAnsi="宋体" w:eastAsia="宋体" w:cs="宋体"/>
                <w:color w:val="auto"/>
                <w:sz w:val="24"/>
                <w:szCs w:val="24"/>
                <w:highlight w:val="none"/>
              </w:rPr>
              <w:fldChar w:fldCharType="end"/>
            </w:r>
          </w:p>
        </w:tc>
        <w:tc>
          <w:tcPr>
            <w:tcW w:w="5851" w:type="dxa"/>
            <w:vAlign w:val="center"/>
          </w:tcPr>
          <w:p w14:paraId="61517230">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2026年  月  日至2026年   月  日</w:t>
            </w:r>
          </w:p>
        </w:tc>
      </w:tr>
      <w:tr w14:paraId="5A0DF6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 w:hRule="atLeast"/>
          <w:jc w:val="center"/>
        </w:trPr>
        <w:tc>
          <w:tcPr>
            <w:tcW w:w="2176" w:type="dxa"/>
            <w:vAlign w:val="center"/>
          </w:tcPr>
          <w:p w14:paraId="256C2FA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审查安排时间</w:t>
            </w:r>
          </w:p>
        </w:tc>
        <w:tc>
          <w:tcPr>
            <w:tcW w:w="5851" w:type="dxa"/>
            <w:vAlign w:val="center"/>
          </w:tcPr>
          <w:p w14:paraId="2D5AE20F">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2026年  月  日至2026年   月  日</w:t>
            </w:r>
          </w:p>
        </w:tc>
      </w:tr>
      <w:tr w14:paraId="346400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 w:hRule="atLeast"/>
          <w:jc w:val="center"/>
        </w:trPr>
        <w:tc>
          <w:tcPr>
            <w:tcW w:w="2176" w:type="dxa"/>
            <w:vAlign w:val="center"/>
          </w:tcPr>
          <w:p w14:paraId="15B2AD6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发布采购公告时间</w:t>
            </w:r>
          </w:p>
        </w:tc>
        <w:tc>
          <w:tcPr>
            <w:tcW w:w="5851" w:type="dxa"/>
            <w:vAlign w:val="center"/>
          </w:tcPr>
          <w:p w14:paraId="38AE49DC">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2026年  月  日至2026年   月  日</w:t>
            </w:r>
          </w:p>
        </w:tc>
      </w:tr>
      <w:tr w14:paraId="20B242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3" w:hRule="atLeast"/>
          <w:jc w:val="center"/>
        </w:trPr>
        <w:tc>
          <w:tcPr>
            <w:tcW w:w="2176" w:type="dxa"/>
            <w:vAlign w:val="center"/>
          </w:tcPr>
          <w:p w14:paraId="4E5C680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开评标时间</w:t>
            </w:r>
          </w:p>
        </w:tc>
        <w:tc>
          <w:tcPr>
            <w:tcW w:w="5851" w:type="dxa"/>
            <w:vAlign w:val="top"/>
          </w:tcPr>
          <w:p w14:paraId="5B482C27">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2026年  月  日至2026年   月  日</w:t>
            </w:r>
          </w:p>
        </w:tc>
      </w:tr>
      <w:tr w14:paraId="64D90E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 w:hRule="atLeast"/>
          <w:jc w:val="center"/>
        </w:trPr>
        <w:tc>
          <w:tcPr>
            <w:tcW w:w="2176" w:type="dxa"/>
            <w:vAlign w:val="center"/>
          </w:tcPr>
          <w:p w14:paraId="46652A0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合同签署时间</w:t>
            </w:r>
          </w:p>
        </w:tc>
        <w:tc>
          <w:tcPr>
            <w:tcW w:w="5851" w:type="dxa"/>
            <w:vAlign w:val="top"/>
          </w:tcPr>
          <w:p w14:paraId="1BD0E6A3">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2026年  月  日至2026年   月  日</w:t>
            </w:r>
          </w:p>
        </w:tc>
      </w:tr>
      <w:tr w14:paraId="4661DF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 w:hRule="atLeast"/>
          <w:jc w:val="center"/>
        </w:trPr>
        <w:tc>
          <w:tcPr>
            <w:tcW w:w="2176" w:type="dxa"/>
            <w:vAlign w:val="center"/>
          </w:tcPr>
          <w:p w14:paraId="3DA8F8F2">
            <w:pPr>
              <w:tabs>
                <w:tab w:val="center" w:pos="2494"/>
                <w:tab w:val="right" w:pos="4869"/>
              </w:tabs>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合同执行时间</w:t>
            </w:r>
          </w:p>
        </w:tc>
        <w:tc>
          <w:tcPr>
            <w:tcW w:w="5851" w:type="dxa"/>
            <w:vAlign w:val="top"/>
          </w:tcPr>
          <w:p w14:paraId="61F94D2D">
            <w:pPr>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完成期：自双方签订合同生效之日起90个工作日之内，中标供应商必须完成本项目的初步验收（包括完成项目的供货、运输、仓储、安装、调试、施工等工作），初步验收通过后进入为期30个工作日的试运行，试运行通过后进行项目最终验收。</w:t>
            </w:r>
          </w:p>
          <w:p w14:paraId="1ADA1707">
            <w:pPr>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2.质保期：项目完成验收合格之日起叁年。（产品有特殊要求的按实际需求执行）</w:t>
            </w:r>
          </w:p>
        </w:tc>
      </w:tr>
      <w:tr w14:paraId="6B5A6F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 w:hRule="atLeast"/>
          <w:jc w:val="center"/>
        </w:trPr>
        <w:tc>
          <w:tcPr>
            <w:tcW w:w="2176" w:type="dxa"/>
            <w:vAlign w:val="center"/>
          </w:tcPr>
          <w:p w14:paraId="06B1F9BC">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履约验收时间</w:t>
            </w:r>
          </w:p>
        </w:tc>
        <w:tc>
          <w:tcPr>
            <w:tcW w:w="5851" w:type="dxa"/>
            <w:vAlign w:val="top"/>
          </w:tcPr>
          <w:p w14:paraId="25E98309">
            <w:pPr>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完成期：自双方签订合同生效之日起90个工作日之内，中标供应商必须完成本项目的初步验收（包括完成项目的供货、运输、仓储、安装、调试、施工等工作），初步验收通过后进入为期30个工作日的试运行，试运行通过后进行项目最终验收。</w:t>
            </w:r>
          </w:p>
          <w:p w14:paraId="530BA260">
            <w:pPr>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2.质保期：项目完成验收合格之日起叁年。（产品有特殊要求的按实际需求执行）</w:t>
            </w:r>
          </w:p>
        </w:tc>
      </w:tr>
    </w:tbl>
    <w:p w14:paraId="5D2B08B4">
      <w:pPr>
        <w:widowControl/>
        <w:ind w:firstLine="482" w:firstLineChars="200"/>
        <w:jc w:val="left"/>
        <w:rPr>
          <w:rFonts w:cs="宋体" w:asciiTheme="minorEastAsia" w:hAnsiTheme="minorEastAsia"/>
          <w:b/>
          <w:color w:val="000000"/>
          <w:kern w:val="0"/>
          <w:sz w:val="24"/>
          <w:szCs w:val="24"/>
        </w:rPr>
      </w:pPr>
      <w:r>
        <w:rPr>
          <w:rFonts w:cs="宋体" w:asciiTheme="minorEastAsia" w:hAnsiTheme="minorEastAsia"/>
          <w:b/>
          <w:color w:val="000000"/>
          <w:kern w:val="0"/>
          <w:sz w:val="24"/>
          <w:szCs w:val="24"/>
        </w:rPr>
        <w:t>（二）采购组织形式</w:t>
      </w:r>
    </w:p>
    <w:p w14:paraId="4731538A">
      <w:pPr>
        <w:widowControl/>
        <w:ind w:firstLine="480" w:firstLineChars="200"/>
        <w:jc w:val="left"/>
        <w:rPr>
          <w:rFonts w:cs="宋体" w:asciiTheme="minorEastAsia" w:hAnsiTheme="minorEastAsia"/>
          <w:i w:val="0"/>
          <w:iCs w:val="0"/>
          <w:color w:val="000000"/>
          <w:kern w:val="0"/>
          <w:sz w:val="24"/>
          <w:szCs w:val="24"/>
        </w:rPr>
      </w:pPr>
      <w:r>
        <w:rPr>
          <w:rFonts w:cs="宋体" w:asciiTheme="minorEastAsia" w:hAnsiTheme="minorEastAsia"/>
          <w:i w:val="0"/>
          <w:iCs w:val="0"/>
          <w:color w:val="000000"/>
          <w:kern w:val="0"/>
          <w:sz w:val="24"/>
          <w:szCs w:val="24"/>
          <w:u w:val="single"/>
        </w:rPr>
        <w:t>分散采购</w:t>
      </w:r>
    </w:p>
    <w:p w14:paraId="61DFAE7C">
      <w:pPr>
        <w:widowControl/>
        <w:ind w:firstLine="482" w:firstLineChars="200"/>
        <w:jc w:val="left"/>
        <w:rPr>
          <w:rFonts w:cs="宋体" w:asciiTheme="minorEastAsia" w:hAnsiTheme="minorEastAsia"/>
          <w:b/>
          <w:color w:val="000000"/>
          <w:kern w:val="0"/>
          <w:sz w:val="24"/>
          <w:szCs w:val="24"/>
        </w:rPr>
      </w:pPr>
      <w:r>
        <w:rPr>
          <w:rFonts w:cs="宋体" w:asciiTheme="minorEastAsia" w:hAnsiTheme="minorEastAsia"/>
          <w:b/>
          <w:color w:val="000000"/>
          <w:kern w:val="0"/>
          <w:sz w:val="24"/>
          <w:szCs w:val="24"/>
        </w:rPr>
        <w:t>（三）委托代理安排</w:t>
      </w:r>
    </w:p>
    <w:p w14:paraId="36A983B7">
      <w:pPr>
        <w:widowControl/>
        <w:ind w:firstLine="480" w:firstLineChars="200"/>
        <w:jc w:val="left"/>
        <w:rPr>
          <w:rFonts w:cs="宋体" w:asciiTheme="minorEastAsia" w:hAnsiTheme="minorEastAsia"/>
          <w:i w:val="0"/>
          <w:iCs w:val="0"/>
          <w:color w:val="000000"/>
          <w:kern w:val="0"/>
          <w:sz w:val="24"/>
          <w:szCs w:val="24"/>
          <w:highlight w:val="none"/>
        </w:rPr>
      </w:pPr>
      <w:r>
        <w:rPr>
          <w:rFonts w:hint="eastAsia" w:cs="宋体" w:asciiTheme="minorEastAsia" w:hAnsiTheme="minorEastAsia"/>
          <w:i w:val="0"/>
          <w:iCs w:val="0"/>
          <w:color w:val="000000"/>
          <w:kern w:val="0"/>
          <w:sz w:val="24"/>
          <w:szCs w:val="24"/>
          <w:highlight w:val="none"/>
          <w:u w:val="single"/>
        </w:rPr>
        <w:t>东莞市塘厦镇招投标服务所</w:t>
      </w:r>
      <w:r>
        <w:rPr>
          <w:rFonts w:cs="宋体" w:asciiTheme="minorEastAsia" w:hAnsiTheme="minorEastAsia"/>
          <w:i w:val="0"/>
          <w:iCs w:val="0"/>
          <w:color w:val="000000"/>
          <w:kern w:val="0"/>
          <w:sz w:val="24"/>
          <w:szCs w:val="24"/>
          <w:highlight w:val="none"/>
          <w:u w:val="single"/>
        </w:rPr>
        <w:t>。</w:t>
      </w:r>
    </w:p>
    <w:p w14:paraId="7F72E3E0">
      <w:pPr>
        <w:widowControl/>
        <w:ind w:firstLine="482" w:firstLineChars="200"/>
        <w:jc w:val="left"/>
        <w:rPr>
          <w:rFonts w:cs="宋体" w:asciiTheme="minorEastAsia" w:hAnsiTheme="minorEastAsia"/>
          <w:b/>
          <w:color w:val="000000"/>
          <w:kern w:val="0"/>
          <w:sz w:val="24"/>
          <w:szCs w:val="24"/>
        </w:rPr>
      </w:pPr>
      <w:r>
        <w:rPr>
          <w:rFonts w:cs="宋体" w:asciiTheme="minorEastAsia" w:hAnsiTheme="minorEastAsia"/>
          <w:b/>
          <w:color w:val="000000"/>
          <w:kern w:val="0"/>
          <w:sz w:val="24"/>
          <w:szCs w:val="24"/>
        </w:rPr>
        <w:t>（四）采购项目项目预（概）算及最高限价</w:t>
      </w:r>
    </w:p>
    <w:p w14:paraId="09AA23D2">
      <w:pPr>
        <w:widowControl/>
        <w:ind w:firstLine="480" w:firstLineChars="200"/>
        <w:jc w:val="left"/>
        <w:rPr>
          <w:rFonts w:cs="宋体" w:asciiTheme="minorEastAsia" w:hAnsiTheme="minorEastAsia"/>
          <w:color w:val="000000"/>
          <w:kern w:val="0"/>
          <w:sz w:val="24"/>
          <w:szCs w:val="24"/>
          <w:highlight w:val="none"/>
        </w:rPr>
      </w:pPr>
      <w:r>
        <w:rPr>
          <w:rFonts w:cs="宋体" w:asciiTheme="minorEastAsia" w:hAnsiTheme="minorEastAsia"/>
          <w:color w:val="000000"/>
          <w:kern w:val="0"/>
          <w:sz w:val="24"/>
          <w:szCs w:val="24"/>
          <w:highlight w:val="none"/>
        </w:rPr>
        <w:t>包1预（概）算：</w:t>
      </w:r>
      <w:r>
        <w:rPr>
          <w:rFonts w:hint="eastAsia" w:cs="宋体" w:asciiTheme="minorEastAsia" w:hAnsiTheme="minorEastAsia"/>
          <w:color w:val="000000"/>
          <w:kern w:val="0"/>
          <w:sz w:val="24"/>
          <w:szCs w:val="24"/>
          <w:highlight w:val="none"/>
          <w:u w:val="single"/>
        </w:rPr>
        <w:t xml:space="preserve"> </w:t>
      </w:r>
      <w:r>
        <w:rPr>
          <w:rFonts w:hint="eastAsia" w:cs="宋体" w:asciiTheme="minorEastAsia" w:hAnsiTheme="minorEastAsia"/>
          <w:color w:val="000000"/>
          <w:kern w:val="0"/>
          <w:sz w:val="24"/>
          <w:szCs w:val="24"/>
          <w:highlight w:val="none"/>
          <w:u w:val="single"/>
          <w:lang w:val="en-US" w:eastAsia="zh-CN"/>
        </w:rPr>
        <w:t>3,652,278.21元</w:t>
      </w:r>
      <w:r>
        <w:rPr>
          <w:rFonts w:hint="eastAsia" w:cs="宋体" w:asciiTheme="minorEastAsia" w:hAnsiTheme="minorEastAsia"/>
          <w:color w:val="000000"/>
          <w:kern w:val="0"/>
          <w:sz w:val="24"/>
          <w:szCs w:val="24"/>
          <w:highlight w:val="none"/>
          <w:u w:val="single"/>
        </w:rPr>
        <w:t xml:space="preserve"> </w:t>
      </w:r>
    </w:p>
    <w:p w14:paraId="242836B8">
      <w:pPr>
        <w:widowControl/>
        <w:ind w:firstLine="480" w:firstLineChars="200"/>
        <w:jc w:val="left"/>
        <w:rPr>
          <w:rFonts w:cs="宋体" w:asciiTheme="minorEastAsia" w:hAnsiTheme="minorEastAsia"/>
          <w:color w:val="000000"/>
          <w:kern w:val="0"/>
          <w:sz w:val="24"/>
          <w:szCs w:val="24"/>
          <w:highlight w:val="none"/>
        </w:rPr>
      </w:pPr>
      <w:r>
        <w:rPr>
          <w:rFonts w:cs="宋体" w:asciiTheme="minorEastAsia" w:hAnsiTheme="minorEastAsia"/>
          <w:color w:val="000000"/>
          <w:kern w:val="0"/>
          <w:sz w:val="24"/>
          <w:szCs w:val="24"/>
          <w:highlight w:val="none"/>
        </w:rPr>
        <w:t>最高限价：</w:t>
      </w:r>
      <w:r>
        <w:rPr>
          <w:rFonts w:hint="eastAsia" w:cs="宋体" w:asciiTheme="minorEastAsia" w:hAnsiTheme="minorEastAsia"/>
          <w:color w:val="000000"/>
          <w:kern w:val="0"/>
          <w:sz w:val="24"/>
          <w:szCs w:val="24"/>
          <w:highlight w:val="none"/>
          <w:u w:val="single"/>
        </w:rPr>
        <w:t xml:space="preserve"> </w:t>
      </w:r>
      <w:r>
        <w:rPr>
          <w:rFonts w:hint="eastAsia" w:cs="宋体" w:asciiTheme="minorEastAsia" w:hAnsiTheme="minorEastAsia"/>
          <w:color w:val="000000"/>
          <w:kern w:val="0"/>
          <w:sz w:val="24"/>
          <w:szCs w:val="24"/>
          <w:highlight w:val="none"/>
          <w:u w:val="single"/>
          <w:lang w:val="en-US" w:eastAsia="zh-CN"/>
        </w:rPr>
        <w:t>3,652,278.21元</w:t>
      </w:r>
      <w:r>
        <w:rPr>
          <w:rFonts w:hint="eastAsia" w:cs="宋体" w:asciiTheme="minorEastAsia" w:hAnsiTheme="minorEastAsia"/>
          <w:color w:val="000000"/>
          <w:kern w:val="0"/>
          <w:sz w:val="24"/>
          <w:szCs w:val="24"/>
          <w:highlight w:val="none"/>
          <w:u w:val="single"/>
        </w:rPr>
        <w:t xml:space="preserve"> </w:t>
      </w:r>
      <w:r>
        <w:rPr>
          <w:rFonts w:hint="eastAsia" w:cs="宋体" w:asciiTheme="minorEastAsia" w:hAnsiTheme="minorEastAsia"/>
          <w:color w:val="000000"/>
          <w:kern w:val="0"/>
          <w:sz w:val="24"/>
          <w:szCs w:val="24"/>
          <w:highlight w:val="none"/>
        </w:rPr>
        <w:t> </w:t>
      </w:r>
    </w:p>
    <w:p w14:paraId="36A40247">
      <w:pPr>
        <w:widowControl/>
        <w:ind w:firstLine="482" w:firstLineChars="200"/>
        <w:jc w:val="left"/>
        <w:rPr>
          <w:rFonts w:cs="宋体" w:asciiTheme="minorEastAsia" w:hAnsiTheme="minorEastAsia"/>
          <w:b/>
          <w:color w:val="000000"/>
          <w:kern w:val="0"/>
          <w:sz w:val="24"/>
          <w:szCs w:val="24"/>
        </w:rPr>
      </w:pPr>
      <w:r>
        <w:rPr>
          <w:rFonts w:cs="宋体" w:asciiTheme="minorEastAsia" w:hAnsiTheme="minorEastAsia"/>
          <w:b/>
          <w:color w:val="000000"/>
          <w:kern w:val="0"/>
          <w:sz w:val="24"/>
          <w:szCs w:val="24"/>
        </w:rPr>
        <w:t>（五）采购包划分与合同分包</w:t>
      </w:r>
    </w:p>
    <w:p w14:paraId="6B95CAFD">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i/>
          <w:iCs/>
          <w:color w:val="000000"/>
          <w:kern w:val="0"/>
          <w:sz w:val="24"/>
          <w:szCs w:val="24"/>
          <w:u w:val="single"/>
        </w:rPr>
        <w:t>应按照有利于采购项目实施的原则，明确采购包或者合同分包要求。</w:t>
      </w:r>
    </w:p>
    <w:tbl>
      <w:tblPr>
        <w:tblStyle w:val="7"/>
        <w:tblW w:w="9300" w:type="dxa"/>
        <w:jc w:val="center"/>
        <w:tblLayout w:type="autofit"/>
        <w:tblCellMar>
          <w:top w:w="0" w:type="dxa"/>
          <w:left w:w="0" w:type="dxa"/>
          <w:bottom w:w="0" w:type="dxa"/>
          <w:right w:w="0" w:type="dxa"/>
        </w:tblCellMar>
      </w:tblPr>
      <w:tblGrid>
        <w:gridCol w:w="765"/>
        <w:gridCol w:w="765"/>
        <w:gridCol w:w="1843"/>
        <w:gridCol w:w="1417"/>
        <w:gridCol w:w="881"/>
        <w:gridCol w:w="850"/>
        <w:gridCol w:w="922"/>
        <w:gridCol w:w="1857"/>
      </w:tblGrid>
      <w:tr w14:paraId="61554581">
        <w:tblPrEx>
          <w:tblCellMar>
            <w:top w:w="0" w:type="dxa"/>
            <w:left w:w="0" w:type="dxa"/>
            <w:bottom w:w="0" w:type="dxa"/>
            <w:right w:w="0" w:type="dxa"/>
          </w:tblCellMar>
        </w:tblPrEx>
        <w:trPr>
          <w:jc w:val="center"/>
        </w:trPr>
        <w:tc>
          <w:tcPr>
            <w:tcW w:w="76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3D4FC4F">
            <w:pPr>
              <w:jc w:val="center"/>
              <w:rPr>
                <w:rFonts w:cs="宋体" w:asciiTheme="minorEastAsia" w:hAnsiTheme="minorEastAsia"/>
                <w:b/>
                <w:kern w:val="0"/>
                <w:sz w:val="24"/>
                <w:szCs w:val="24"/>
              </w:rPr>
            </w:pPr>
            <w:r>
              <w:rPr>
                <w:rFonts w:cs="宋体" w:asciiTheme="minorEastAsia" w:hAnsiTheme="minorEastAsia"/>
                <w:b/>
                <w:kern w:val="0"/>
                <w:sz w:val="24"/>
                <w:szCs w:val="24"/>
              </w:rPr>
              <w:t>包号</w:t>
            </w:r>
          </w:p>
        </w:tc>
        <w:tc>
          <w:tcPr>
            <w:tcW w:w="765"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07A40203">
            <w:pPr>
              <w:jc w:val="center"/>
              <w:rPr>
                <w:rFonts w:cs="宋体" w:asciiTheme="minorEastAsia" w:hAnsiTheme="minorEastAsia"/>
                <w:b/>
                <w:kern w:val="0"/>
                <w:sz w:val="24"/>
                <w:szCs w:val="24"/>
              </w:rPr>
            </w:pPr>
            <w:r>
              <w:rPr>
                <w:rFonts w:cs="宋体" w:asciiTheme="minorEastAsia" w:hAnsiTheme="minorEastAsia"/>
                <w:b/>
                <w:kern w:val="0"/>
                <w:sz w:val="24"/>
                <w:szCs w:val="24"/>
              </w:rPr>
              <w:t>序号</w:t>
            </w:r>
          </w:p>
        </w:tc>
        <w:tc>
          <w:tcPr>
            <w:tcW w:w="1843"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72081CEB">
            <w:pPr>
              <w:jc w:val="center"/>
              <w:rPr>
                <w:rFonts w:cs="宋体" w:asciiTheme="minorEastAsia" w:hAnsiTheme="minorEastAsia"/>
                <w:b/>
                <w:kern w:val="0"/>
                <w:sz w:val="24"/>
                <w:szCs w:val="24"/>
              </w:rPr>
            </w:pPr>
            <w:r>
              <w:rPr>
                <w:rFonts w:cs="宋体" w:asciiTheme="minorEastAsia" w:hAnsiTheme="minorEastAsia"/>
                <w:b/>
                <w:kern w:val="0"/>
                <w:sz w:val="24"/>
                <w:szCs w:val="24"/>
              </w:rPr>
              <w:t>标的名称</w:t>
            </w:r>
          </w:p>
        </w:tc>
        <w:tc>
          <w:tcPr>
            <w:tcW w:w="141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33131A38">
            <w:pPr>
              <w:jc w:val="center"/>
              <w:rPr>
                <w:rFonts w:cs="宋体" w:asciiTheme="minorEastAsia" w:hAnsiTheme="minorEastAsia"/>
                <w:b/>
                <w:kern w:val="0"/>
                <w:sz w:val="24"/>
                <w:szCs w:val="24"/>
              </w:rPr>
            </w:pPr>
            <w:r>
              <w:rPr>
                <w:rFonts w:cs="宋体" w:asciiTheme="minorEastAsia" w:hAnsiTheme="minorEastAsia"/>
                <w:b/>
                <w:kern w:val="0"/>
                <w:sz w:val="24"/>
                <w:szCs w:val="24"/>
              </w:rPr>
              <w:t>品目</w:t>
            </w:r>
          </w:p>
          <w:p w14:paraId="51AA9DFB">
            <w:pPr>
              <w:jc w:val="center"/>
              <w:rPr>
                <w:rFonts w:cs="宋体" w:asciiTheme="minorEastAsia" w:hAnsiTheme="minorEastAsia"/>
                <w:b/>
                <w:kern w:val="0"/>
                <w:sz w:val="24"/>
                <w:szCs w:val="24"/>
              </w:rPr>
            </w:pPr>
            <w:r>
              <w:rPr>
                <w:rFonts w:cs="宋体" w:asciiTheme="minorEastAsia" w:hAnsiTheme="minorEastAsia"/>
                <w:b/>
                <w:kern w:val="0"/>
                <w:sz w:val="24"/>
                <w:szCs w:val="24"/>
              </w:rPr>
              <w:t>分类编码</w:t>
            </w:r>
          </w:p>
        </w:tc>
        <w:tc>
          <w:tcPr>
            <w:tcW w:w="88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394B6444">
            <w:pPr>
              <w:jc w:val="center"/>
              <w:rPr>
                <w:rFonts w:cs="宋体" w:asciiTheme="minorEastAsia" w:hAnsiTheme="minorEastAsia"/>
                <w:b/>
                <w:kern w:val="0"/>
                <w:sz w:val="24"/>
                <w:szCs w:val="24"/>
              </w:rPr>
            </w:pPr>
            <w:r>
              <w:rPr>
                <w:rFonts w:cs="宋体" w:asciiTheme="minorEastAsia" w:hAnsiTheme="minorEastAsia"/>
                <w:b/>
                <w:kern w:val="0"/>
                <w:sz w:val="24"/>
                <w:szCs w:val="24"/>
              </w:rPr>
              <w:t>计量</w:t>
            </w:r>
          </w:p>
          <w:p w14:paraId="2BFA1AE0">
            <w:pPr>
              <w:jc w:val="center"/>
              <w:rPr>
                <w:rFonts w:cs="宋体" w:asciiTheme="minorEastAsia" w:hAnsiTheme="minorEastAsia"/>
                <w:b/>
                <w:kern w:val="0"/>
                <w:sz w:val="24"/>
                <w:szCs w:val="24"/>
              </w:rPr>
            </w:pPr>
            <w:r>
              <w:rPr>
                <w:rFonts w:cs="宋体" w:asciiTheme="minorEastAsia" w:hAnsiTheme="minorEastAsia"/>
                <w:b/>
                <w:kern w:val="0"/>
                <w:sz w:val="24"/>
                <w:szCs w:val="24"/>
              </w:rPr>
              <w:t>单位</w:t>
            </w:r>
          </w:p>
        </w:tc>
        <w:tc>
          <w:tcPr>
            <w:tcW w:w="85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0DEC18C1">
            <w:pPr>
              <w:jc w:val="center"/>
              <w:rPr>
                <w:rFonts w:cs="宋体" w:asciiTheme="minorEastAsia" w:hAnsiTheme="minorEastAsia"/>
                <w:b/>
                <w:kern w:val="0"/>
                <w:sz w:val="24"/>
                <w:szCs w:val="24"/>
              </w:rPr>
            </w:pPr>
            <w:r>
              <w:rPr>
                <w:rFonts w:cs="宋体" w:asciiTheme="minorEastAsia" w:hAnsiTheme="minorEastAsia"/>
                <w:b/>
                <w:kern w:val="0"/>
                <w:sz w:val="24"/>
                <w:szCs w:val="24"/>
              </w:rPr>
              <w:t>数量</w:t>
            </w:r>
          </w:p>
        </w:tc>
        <w:tc>
          <w:tcPr>
            <w:tcW w:w="92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40932516">
            <w:pPr>
              <w:jc w:val="center"/>
              <w:rPr>
                <w:rFonts w:cs="宋体" w:asciiTheme="minorEastAsia" w:hAnsiTheme="minorEastAsia"/>
                <w:b/>
                <w:kern w:val="0"/>
                <w:sz w:val="24"/>
                <w:szCs w:val="24"/>
              </w:rPr>
            </w:pPr>
            <w:r>
              <w:rPr>
                <w:rFonts w:cs="宋体" w:asciiTheme="minorEastAsia" w:hAnsiTheme="minorEastAsia"/>
                <w:b/>
                <w:kern w:val="0"/>
                <w:sz w:val="24"/>
                <w:szCs w:val="24"/>
              </w:rPr>
              <w:t>是否</w:t>
            </w:r>
          </w:p>
          <w:p w14:paraId="2C1BDF31">
            <w:pPr>
              <w:jc w:val="center"/>
              <w:rPr>
                <w:rFonts w:cs="宋体" w:asciiTheme="minorEastAsia" w:hAnsiTheme="minorEastAsia"/>
                <w:b/>
                <w:kern w:val="0"/>
                <w:sz w:val="24"/>
                <w:szCs w:val="24"/>
              </w:rPr>
            </w:pPr>
            <w:r>
              <w:rPr>
                <w:rFonts w:cs="宋体" w:asciiTheme="minorEastAsia" w:hAnsiTheme="minorEastAsia"/>
                <w:b/>
                <w:kern w:val="0"/>
                <w:sz w:val="24"/>
                <w:szCs w:val="24"/>
              </w:rPr>
              <w:t>进口</w:t>
            </w:r>
          </w:p>
        </w:tc>
        <w:tc>
          <w:tcPr>
            <w:tcW w:w="185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12086890">
            <w:pPr>
              <w:jc w:val="center"/>
              <w:rPr>
                <w:rFonts w:cs="宋体" w:asciiTheme="minorEastAsia" w:hAnsiTheme="minorEastAsia"/>
                <w:b/>
                <w:kern w:val="0"/>
                <w:sz w:val="24"/>
                <w:szCs w:val="24"/>
              </w:rPr>
            </w:pPr>
            <w:r>
              <w:rPr>
                <w:rFonts w:cs="宋体" w:asciiTheme="minorEastAsia" w:hAnsiTheme="minorEastAsia"/>
                <w:b/>
                <w:kern w:val="0"/>
                <w:sz w:val="24"/>
                <w:szCs w:val="24"/>
              </w:rPr>
              <w:t>分包</w:t>
            </w:r>
          </w:p>
          <w:p w14:paraId="3DB0B899">
            <w:pPr>
              <w:jc w:val="center"/>
              <w:rPr>
                <w:rFonts w:cs="宋体" w:asciiTheme="minorEastAsia" w:hAnsiTheme="minorEastAsia"/>
                <w:b/>
                <w:kern w:val="0"/>
                <w:sz w:val="24"/>
                <w:szCs w:val="24"/>
              </w:rPr>
            </w:pPr>
            <w:r>
              <w:rPr>
                <w:rFonts w:cs="宋体" w:asciiTheme="minorEastAsia" w:hAnsiTheme="minorEastAsia"/>
                <w:b/>
                <w:kern w:val="0"/>
                <w:sz w:val="24"/>
                <w:szCs w:val="24"/>
              </w:rPr>
              <w:t>要求</w:t>
            </w:r>
          </w:p>
        </w:tc>
      </w:tr>
      <w:tr w14:paraId="5EFE39C6">
        <w:tblPrEx>
          <w:tblCellMar>
            <w:top w:w="0" w:type="dxa"/>
            <w:left w:w="0" w:type="dxa"/>
            <w:bottom w:w="0" w:type="dxa"/>
            <w:right w:w="0" w:type="dxa"/>
          </w:tblCellMar>
        </w:tblPrEx>
        <w:trPr>
          <w:jc w:val="center"/>
        </w:trPr>
        <w:tc>
          <w:tcPr>
            <w:tcW w:w="76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4E0AD21">
            <w:pPr>
              <w:jc w:val="center"/>
              <w:rPr>
                <w:rFonts w:hint="eastAsia" w:cs="宋体" w:asciiTheme="minorEastAsia" w:hAnsiTheme="minorEastAsia" w:eastAsiaTheme="minorEastAsia"/>
                <w:kern w:val="0"/>
                <w:sz w:val="24"/>
                <w:szCs w:val="24"/>
                <w:lang w:val="en-US" w:eastAsia="zh-CN"/>
              </w:rPr>
            </w:pPr>
            <w:r>
              <w:rPr>
                <w:rFonts w:hint="eastAsia" w:cs="宋体" w:asciiTheme="minorEastAsia" w:hAnsiTheme="minorEastAsia"/>
                <w:kern w:val="0"/>
                <w:sz w:val="24"/>
                <w:szCs w:val="24"/>
                <w:lang w:val="en-US" w:eastAsia="zh-CN"/>
              </w:rPr>
              <w:t>1</w:t>
            </w:r>
          </w:p>
        </w:tc>
        <w:tc>
          <w:tcPr>
            <w:tcW w:w="765" w:type="dxa"/>
            <w:tcBorders>
              <w:top w:val="nil"/>
              <w:left w:val="nil"/>
              <w:bottom w:val="single" w:color="auto" w:sz="8" w:space="0"/>
              <w:right w:val="single" w:color="auto" w:sz="8" w:space="0"/>
            </w:tcBorders>
            <w:tcMar>
              <w:top w:w="0" w:type="dxa"/>
              <w:left w:w="108" w:type="dxa"/>
              <w:bottom w:w="0" w:type="dxa"/>
              <w:right w:w="108" w:type="dxa"/>
            </w:tcMar>
            <w:vAlign w:val="center"/>
          </w:tcPr>
          <w:p w14:paraId="7E37A805">
            <w:pPr>
              <w:jc w:val="center"/>
              <w:rPr>
                <w:rFonts w:hint="eastAsia" w:cs="宋体" w:asciiTheme="minorEastAsia" w:hAnsiTheme="minorEastAsia" w:eastAsiaTheme="minorEastAsia"/>
                <w:kern w:val="0"/>
                <w:sz w:val="24"/>
                <w:szCs w:val="24"/>
                <w:lang w:val="en-US" w:eastAsia="zh-CN"/>
              </w:rPr>
            </w:pPr>
            <w:r>
              <w:rPr>
                <w:rFonts w:hint="eastAsia" w:cs="宋体" w:asciiTheme="minorEastAsia" w:hAnsiTheme="minorEastAsia"/>
                <w:i w:val="0"/>
                <w:iCs w:val="0"/>
                <w:kern w:val="0"/>
                <w:sz w:val="24"/>
                <w:szCs w:val="24"/>
                <w:lang w:val="en-US" w:eastAsia="zh-CN"/>
              </w:rPr>
              <w:t>1</w:t>
            </w:r>
          </w:p>
        </w:tc>
        <w:tc>
          <w:tcPr>
            <w:tcW w:w="1843" w:type="dxa"/>
            <w:tcBorders>
              <w:top w:val="nil"/>
              <w:left w:val="nil"/>
              <w:bottom w:val="single" w:color="auto" w:sz="8" w:space="0"/>
              <w:right w:val="single" w:color="auto" w:sz="8" w:space="0"/>
            </w:tcBorders>
            <w:tcMar>
              <w:top w:w="0" w:type="dxa"/>
              <w:left w:w="108" w:type="dxa"/>
              <w:bottom w:w="0" w:type="dxa"/>
              <w:right w:w="108" w:type="dxa"/>
            </w:tcMar>
            <w:vAlign w:val="center"/>
          </w:tcPr>
          <w:p w14:paraId="0E5670FE">
            <w:pPr>
              <w:jc w:val="center"/>
              <w:rPr>
                <w:rFonts w:cs="宋体" w:asciiTheme="minorEastAsia" w:hAnsiTheme="minorEastAsia"/>
                <w:i/>
                <w:kern w:val="0"/>
                <w:sz w:val="24"/>
                <w:szCs w:val="24"/>
                <w:u w:val="single"/>
              </w:rPr>
            </w:pPr>
            <w:r>
              <w:rPr>
                <w:rFonts w:hint="eastAsia" w:cs="宋体" w:asciiTheme="minorEastAsia" w:hAnsiTheme="minorEastAsia"/>
                <w:kern w:val="0"/>
                <w:sz w:val="24"/>
                <w:szCs w:val="24"/>
                <w:lang w:val="en-US" w:eastAsia="zh-CN"/>
              </w:rPr>
              <w:t>交通管理设备</w:t>
            </w:r>
          </w:p>
        </w:tc>
        <w:tc>
          <w:tcPr>
            <w:tcW w:w="1417" w:type="dxa"/>
            <w:tcBorders>
              <w:top w:val="nil"/>
              <w:left w:val="nil"/>
              <w:bottom w:val="single" w:color="auto" w:sz="8" w:space="0"/>
              <w:right w:val="single" w:color="auto" w:sz="8" w:space="0"/>
            </w:tcBorders>
            <w:tcMar>
              <w:top w:w="0" w:type="dxa"/>
              <w:left w:w="108" w:type="dxa"/>
              <w:bottom w:w="0" w:type="dxa"/>
              <w:right w:w="108" w:type="dxa"/>
            </w:tcMar>
            <w:vAlign w:val="center"/>
          </w:tcPr>
          <w:p w14:paraId="27105406">
            <w:pPr>
              <w:jc w:val="center"/>
              <w:rPr>
                <w:rFonts w:cs="宋体" w:asciiTheme="minorEastAsia" w:hAnsiTheme="minorEastAsia"/>
                <w:kern w:val="0"/>
                <w:sz w:val="24"/>
                <w:szCs w:val="24"/>
              </w:rPr>
            </w:pPr>
            <w:r>
              <w:rPr>
                <w:rFonts w:hint="eastAsia" w:cs="宋体" w:asciiTheme="minorEastAsia" w:hAnsiTheme="minorEastAsia"/>
                <w:kern w:val="0"/>
                <w:sz w:val="24"/>
                <w:szCs w:val="24"/>
                <w:lang w:val="en-US" w:eastAsia="zh-CN"/>
              </w:rPr>
              <w:t>A02370200</w:t>
            </w:r>
          </w:p>
        </w:tc>
        <w:tc>
          <w:tcPr>
            <w:tcW w:w="881" w:type="dxa"/>
            <w:tcBorders>
              <w:top w:val="nil"/>
              <w:left w:val="nil"/>
              <w:bottom w:val="single" w:color="auto" w:sz="8" w:space="0"/>
              <w:right w:val="single" w:color="auto" w:sz="8" w:space="0"/>
            </w:tcBorders>
            <w:tcMar>
              <w:top w:w="0" w:type="dxa"/>
              <w:left w:w="108" w:type="dxa"/>
              <w:bottom w:w="0" w:type="dxa"/>
              <w:right w:w="108" w:type="dxa"/>
            </w:tcMar>
            <w:vAlign w:val="center"/>
          </w:tcPr>
          <w:p w14:paraId="78C61ED3">
            <w:pPr>
              <w:jc w:val="center"/>
              <w:rPr>
                <w:rFonts w:cs="宋体" w:asciiTheme="minorEastAsia" w:hAnsiTheme="minorEastAsia"/>
                <w:kern w:val="0"/>
                <w:sz w:val="24"/>
                <w:szCs w:val="24"/>
              </w:rPr>
            </w:pPr>
            <w:r>
              <w:rPr>
                <w:rFonts w:hint="eastAsia" w:cs="宋体" w:asciiTheme="minorEastAsia" w:hAnsiTheme="minorEastAsia"/>
                <w:kern w:val="0"/>
                <w:sz w:val="24"/>
                <w:szCs w:val="24"/>
                <w:lang w:val="en-US" w:eastAsia="zh-CN"/>
              </w:rPr>
              <w:t>项</w:t>
            </w:r>
          </w:p>
        </w:tc>
        <w:tc>
          <w:tcPr>
            <w:tcW w:w="850" w:type="dxa"/>
            <w:tcBorders>
              <w:top w:val="nil"/>
              <w:left w:val="nil"/>
              <w:bottom w:val="single" w:color="auto" w:sz="8" w:space="0"/>
              <w:right w:val="single" w:color="auto" w:sz="8" w:space="0"/>
            </w:tcBorders>
            <w:tcMar>
              <w:top w:w="0" w:type="dxa"/>
              <w:left w:w="108" w:type="dxa"/>
              <w:bottom w:w="0" w:type="dxa"/>
              <w:right w:w="108" w:type="dxa"/>
            </w:tcMar>
            <w:vAlign w:val="center"/>
          </w:tcPr>
          <w:p w14:paraId="25B32D5A">
            <w:pPr>
              <w:jc w:val="center"/>
              <w:rPr>
                <w:rFonts w:cs="宋体" w:asciiTheme="minorEastAsia" w:hAnsiTheme="minorEastAsia"/>
                <w:kern w:val="0"/>
                <w:sz w:val="24"/>
                <w:szCs w:val="24"/>
              </w:rPr>
            </w:pPr>
            <w:r>
              <w:rPr>
                <w:rFonts w:hint="eastAsia" w:cs="宋体" w:asciiTheme="minorEastAsia" w:hAnsiTheme="minorEastAsia"/>
                <w:kern w:val="0"/>
                <w:sz w:val="24"/>
                <w:szCs w:val="24"/>
                <w:lang w:val="en-US" w:eastAsia="zh-CN"/>
              </w:rPr>
              <w:t>1</w:t>
            </w:r>
          </w:p>
        </w:tc>
        <w:tc>
          <w:tcPr>
            <w:tcW w:w="922" w:type="dxa"/>
            <w:tcBorders>
              <w:top w:val="nil"/>
              <w:left w:val="nil"/>
              <w:bottom w:val="single" w:color="auto" w:sz="8" w:space="0"/>
              <w:right w:val="single" w:color="auto" w:sz="8" w:space="0"/>
            </w:tcBorders>
            <w:tcMar>
              <w:top w:w="0" w:type="dxa"/>
              <w:left w:w="108" w:type="dxa"/>
              <w:bottom w:w="0" w:type="dxa"/>
              <w:right w:w="108" w:type="dxa"/>
            </w:tcMar>
            <w:vAlign w:val="center"/>
          </w:tcPr>
          <w:p w14:paraId="64DA762D">
            <w:pPr>
              <w:jc w:val="center"/>
              <w:rPr>
                <w:rFonts w:cs="宋体" w:asciiTheme="minorEastAsia" w:hAnsiTheme="minorEastAsia"/>
                <w:kern w:val="0"/>
                <w:sz w:val="24"/>
                <w:szCs w:val="24"/>
              </w:rPr>
            </w:pPr>
            <w:r>
              <w:rPr>
                <w:rFonts w:hint="eastAsia" w:cs="宋体" w:asciiTheme="minorEastAsia" w:hAnsiTheme="minorEastAsia"/>
                <w:kern w:val="0"/>
                <w:sz w:val="24"/>
                <w:szCs w:val="24"/>
                <w:lang w:val="en-US" w:eastAsia="zh-CN"/>
              </w:rPr>
              <w:t>否</w:t>
            </w:r>
          </w:p>
        </w:tc>
        <w:tc>
          <w:tcPr>
            <w:tcW w:w="1857" w:type="dxa"/>
            <w:tcBorders>
              <w:top w:val="nil"/>
              <w:left w:val="nil"/>
              <w:bottom w:val="single" w:color="auto" w:sz="8" w:space="0"/>
              <w:right w:val="single" w:color="auto" w:sz="8" w:space="0"/>
            </w:tcBorders>
            <w:tcMar>
              <w:top w:w="0" w:type="dxa"/>
              <w:left w:w="108" w:type="dxa"/>
              <w:bottom w:w="0" w:type="dxa"/>
              <w:right w:w="108" w:type="dxa"/>
            </w:tcMar>
            <w:vAlign w:val="center"/>
          </w:tcPr>
          <w:p w14:paraId="2A26F2F6">
            <w:pPr>
              <w:jc w:val="center"/>
              <w:rPr>
                <w:rFonts w:cs="宋体" w:asciiTheme="minorEastAsia" w:hAnsiTheme="minorEastAsia"/>
                <w:i/>
                <w:kern w:val="0"/>
                <w:sz w:val="24"/>
                <w:szCs w:val="24"/>
                <w:u w:val="single"/>
              </w:rPr>
            </w:pPr>
            <w:r>
              <w:rPr>
                <w:rFonts w:hint="eastAsia" w:cs="宋体" w:asciiTheme="minorEastAsia" w:hAnsiTheme="minorEastAsia"/>
                <w:kern w:val="0"/>
                <w:sz w:val="24"/>
                <w:szCs w:val="24"/>
                <w:lang w:val="en-US" w:eastAsia="zh-CN"/>
              </w:rPr>
              <w:t>否</w:t>
            </w:r>
          </w:p>
        </w:tc>
      </w:tr>
    </w:tbl>
    <w:p w14:paraId="66E9B244">
      <w:pPr>
        <w:widowControl/>
        <w:ind w:firstLine="482" w:firstLineChars="200"/>
        <w:jc w:val="left"/>
        <w:rPr>
          <w:rFonts w:cs="宋体" w:asciiTheme="minorEastAsia" w:hAnsiTheme="minorEastAsia"/>
          <w:b/>
          <w:color w:val="000000"/>
          <w:kern w:val="0"/>
          <w:sz w:val="24"/>
          <w:szCs w:val="24"/>
        </w:rPr>
      </w:pPr>
      <w:r>
        <w:rPr>
          <w:rFonts w:cs="宋体" w:asciiTheme="minorEastAsia" w:hAnsiTheme="minorEastAsia"/>
          <w:b/>
          <w:color w:val="000000"/>
          <w:kern w:val="0"/>
          <w:sz w:val="24"/>
          <w:szCs w:val="24"/>
        </w:rPr>
        <w:t>（六）采购方式</w:t>
      </w:r>
    </w:p>
    <w:p w14:paraId="723C7ED5">
      <w:pPr>
        <w:widowControl/>
        <w:ind w:firstLine="480" w:firstLineChars="200"/>
        <w:jc w:val="left"/>
        <w:rPr>
          <w:rFonts w:cs="宋体" w:asciiTheme="minorEastAsia" w:hAnsiTheme="minorEastAsia"/>
          <w:i w:val="0"/>
          <w:iCs w:val="0"/>
          <w:color w:val="000000"/>
          <w:kern w:val="0"/>
          <w:sz w:val="24"/>
          <w:szCs w:val="24"/>
        </w:rPr>
      </w:pPr>
      <w:r>
        <w:rPr>
          <w:rFonts w:cs="宋体" w:asciiTheme="minorEastAsia" w:hAnsiTheme="minorEastAsia"/>
          <w:i w:val="0"/>
          <w:iCs w:val="0"/>
          <w:color w:val="000000"/>
          <w:kern w:val="0"/>
          <w:sz w:val="24"/>
          <w:szCs w:val="24"/>
          <w:u w:val="single"/>
        </w:rPr>
        <w:t>达到公开招标数额标准，因特殊情况需要采用公开招标以外的采购方式的，应当依法获得批准。</w:t>
      </w:r>
    </w:p>
    <w:p w14:paraId="34F10134">
      <w:pPr>
        <w:widowControl/>
        <w:ind w:firstLine="480" w:firstLineChars="200"/>
        <w:jc w:val="left"/>
        <w:rPr>
          <w:rFonts w:cs="宋体" w:asciiTheme="minorEastAsia" w:hAnsiTheme="minorEastAsia"/>
          <w:i w:val="0"/>
          <w:iCs w:val="0"/>
          <w:color w:val="000000"/>
          <w:kern w:val="0"/>
          <w:sz w:val="24"/>
          <w:szCs w:val="24"/>
        </w:rPr>
      </w:pPr>
      <w:r>
        <w:rPr>
          <w:rFonts w:cs="宋体" w:asciiTheme="minorEastAsia" w:hAnsiTheme="minorEastAsia"/>
          <w:i w:val="0"/>
          <w:iCs w:val="0"/>
          <w:color w:val="000000"/>
          <w:kern w:val="0"/>
          <w:sz w:val="24"/>
          <w:szCs w:val="24"/>
          <w:u w:val="single"/>
        </w:rPr>
        <w:t>采购需求客观、明确且规格、标准统一的采购项目，如通用设备、物业管理等，一般采用招标或者询价方式采购。</w:t>
      </w:r>
    </w:p>
    <w:p w14:paraId="66A2BBEE">
      <w:pPr>
        <w:widowControl/>
        <w:ind w:firstLine="480" w:firstLineChars="200"/>
        <w:jc w:val="left"/>
        <w:rPr>
          <w:rFonts w:cs="宋体" w:asciiTheme="minorEastAsia" w:hAnsiTheme="minorEastAsia"/>
          <w:i w:val="0"/>
          <w:iCs w:val="0"/>
          <w:color w:val="000000"/>
          <w:kern w:val="0"/>
          <w:sz w:val="24"/>
          <w:szCs w:val="24"/>
        </w:rPr>
      </w:pPr>
      <w:r>
        <w:rPr>
          <w:rFonts w:cs="宋体" w:asciiTheme="minorEastAsia" w:hAnsiTheme="minorEastAsia"/>
          <w:i w:val="0"/>
          <w:iCs w:val="0"/>
          <w:color w:val="000000"/>
          <w:kern w:val="0"/>
          <w:sz w:val="24"/>
          <w:szCs w:val="24"/>
          <w:u w:val="single"/>
        </w:rPr>
        <w:t>采购需求客观、明确，且技术较复杂或者专业性较强的采购项目，如大型装备、咨询服务等，一般采用招标、谈判（磋商）方式采购。</w:t>
      </w:r>
    </w:p>
    <w:p w14:paraId="04FE7060">
      <w:pPr>
        <w:widowControl/>
        <w:ind w:firstLine="480" w:firstLineChars="200"/>
        <w:jc w:val="left"/>
        <w:rPr>
          <w:rFonts w:cs="宋体" w:asciiTheme="minorEastAsia" w:hAnsiTheme="minorEastAsia"/>
          <w:i w:val="0"/>
          <w:iCs w:val="0"/>
          <w:color w:val="000000"/>
          <w:kern w:val="0"/>
          <w:sz w:val="24"/>
          <w:szCs w:val="24"/>
        </w:rPr>
      </w:pPr>
      <w:r>
        <w:rPr>
          <w:rFonts w:cs="宋体" w:asciiTheme="minorEastAsia" w:hAnsiTheme="minorEastAsia"/>
          <w:i w:val="0"/>
          <w:iCs w:val="0"/>
          <w:color w:val="000000"/>
          <w:kern w:val="0"/>
          <w:sz w:val="24"/>
          <w:szCs w:val="24"/>
          <w:u w:val="single"/>
        </w:rPr>
        <w:t>不能完全确定客观指标，需由供应商提供设计方案、解决方案或者组织方案的采购项目，如首购订购、设计服务、政府和社会资本合作等，一般采用谈判（磋商）方式采购。</w:t>
      </w:r>
    </w:p>
    <w:p w14:paraId="2336B528">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1.包1</w:t>
      </w:r>
    </w:p>
    <w:p w14:paraId="50F72827">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（1）采购方式</w:t>
      </w:r>
    </w:p>
    <w:p w14:paraId="4D092273">
      <w:pPr>
        <w:widowControl/>
        <w:ind w:firstLine="480" w:firstLineChars="20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lang w:eastAsia="zh-CN"/>
        </w:rPr>
        <w:t>☑</w:t>
      </w:r>
      <w:r>
        <w:rPr>
          <w:rFonts w:cs="宋体" w:asciiTheme="minorEastAsia" w:hAnsiTheme="minorEastAsia"/>
          <w:color w:val="000000"/>
          <w:kern w:val="0"/>
          <w:sz w:val="24"/>
          <w:szCs w:val="24"/>
        </w:rPr>
        <w:t>公开招标</w:t>
      </w:r>
    </w:p>
    <w:p w14:paraId="01EBFF1E">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□邀请招标</w:t>
      </w:r>
    </w:p>
    <w:p w14:paraId="618627F4">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□竞争性谈判</w:t>
      </w:r>
    </w:p>
    <w:p w14:paraId="1FB72250">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□竞争性磋商</w:t>
      </w:r>
    </w:p>
    <w:p w14:paraId="026DDC1B">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□询价</w:t>
      </w:r>
    </w:p>
    <w:p w14:paraId="7BE86890">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□单一来源采购</w:t>
      </w:r>
    </w:p>
    <w:p w14:paraId="52FB96BC">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□其他采购方式：</w:t>
      </w:r>
      <w:r>
        <w:rPr>
          <w:rFonts w:hint="eastAsia" w:cs="宋体" w:asciiTheme="minorEastAsia" w:hAnsiTheme="minorEastAsia"/>
          <w:color w:val="000000"/>
          <w:kern w:val="0"/>
          <w:sz w:val="24"/>
          <w:szCs w:val="24"/>
          <w:u w:val="single"/>
        </w:rPr>
        <w:t xml:space="preserve">                             </w:t>
      </w:r>
    </w:p>
    <w:p w14:paraId="1D51CF94">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选择采购方式的理由：</w:t>
      </w:r>
      <w:r>
        <w:rPr>
          <w:rFonts w:hint="eastAsia" w:cs="宋体" w:asciiTheme="minorEastAsia" w:hAnsiTheme="minorEastAsia"/>
          <w:color w:val="000000"/>
          <w:kern w:val="0"/>
          <w:sz w:val="24"/>
          <w:szCs w:val="24"/>
          <w:u w:val="single"/>
        </w:rPr>
        <w:t xml:space="preserve">                             </w:t>
      </w:r>
    </w:p>
    <w:p w14:paraId="5815857A">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（2）采购方式是否需要财政部门批准：</w:t>
      </w:r>
    </w:p>
    <w:p w14:paraId="120DB54C">
      <w:pPr>
        <w:widowControl/>
        <w:ind w:firstLine="480" w:firstLineChars="20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lang w:eastAsia="zh-CN"/>
        </w:rPr>
        <w:t>☑</w:t>
      </w:r>
      <w:r>
        <w:rPr>
          <w:rFonts w:cs="宋体" w:asciiTheme="minorEastAsia" w:hAnsiTheme="minorEastAsia"/>
          <w:color w:val="000000"/>
          <w:kern w:val="0"/>
          <w:sz w:val="24"/>
          <w:szCs w:val="24"/>
        </w:rPr>
        <w:t>不需要</w:t>
      </w:r>
    </w:p>
    <w:p w14:paraId="38A7567F">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□需要，报批安排：</w:t>
      </w:r>
      <w:r>
        <w:rPr>
          <w:rFonts w:hint="eastAsia" w:cs="宋体" w:asciiTheme="minorEastAsia" w:hAnsiTheme="minorEastAsia"/>
          <w:color w:val="000000"/>
          <w:kern w:val="0"/>
          <w:sz w:val="24"/>
          <w:szCs w:val="24"/>
          <w:u w:val="single"/>
        </w:rPr>
        <w:t xml:space="preserve">                             </w:t>
      </w:r>
    </w:p>
    <w:p w14:paraId="2DB12BEE">
      <w:pPr>
        <w:widowControl/>
        <w:ind w:firstLine="482" w:firstLineChars="200"/>
        <w:jc w:val="left"/>
        <w:rPr>
          <w:rFonts w:cs="宋体" w:asciiTheme="minorEastAsia" w:hAnsiTheme="minorEastAsia"/>
          <w:b/>
          <w:color w:val="000000"/>
          <w:kern w:val="0"/>
          <w:sz w:val="24"/>
          <w:szCs w:val="24"/>
        </w:rPr>
      </w:pPr>
      <w:r>
        <w:rPr>
          <w:rFonts w:cs="宋体" w:asciiTheme="minorEastAsia" w:hAnsiTheme="minorEastAsia"/>
          <w:b/>
          <w:color w:val="000000"/>
          <w:kern w:val="0"/>
          <w:sz w:val="24"/>
          <w:szCs w:val="24"/>
        </w:rPr>
        <w:t>（七）供应商资格条件</w:t>
      </w:r>
    </w:p>
    <w:p w14:paraId="3C00AACF">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1.包1</w:t>
      </w:r>
    </w:p>
    <w:p w14:paraId="317BA4AF">
      <w:pPr>
        <w:widowControl/>
        <w:ind w:firstLine="480" w:firstLineChars="200"/>
        <w:jc w:val="left"/>
        <w:rPr>
          <w:rFonts w:hint="eastAsia" w:cs="宋体" w:asciiTheme="minorEastAsia" w:hAnsiTheme="minorEastAsia"/>
          <w:color w:val="000000"/>
          <w:kern w:val="0"/>
          <w:sz w:val="24"/>
          <w:szCs w:val="24"/>
          <w:u w:val="single"/>
        </w:rPr>
      </w:pPr>
      <w:r>
        <w:rPr>
          <w:rFonts w:hint="eastAsia" w:cs="宋体" w:asciiTheme="minorEastAsia" w:hAnsiTheme="minorEastAsia"/>
          <w:color w:val="000000"/>
          <w:kern w:val="0"/>
          <w:sz w:val="24"/>
          <w:szCs w:val="24"/>
          <w:u w:val="single"/>
        </w:rPr>
        <w:t>1.投标人应具备《中华人民共和国政府采购法》第二十二条规定的条件，提供下列材料：</w:t>
      </w:r>
    </w:p>
    <w:p w14:paraId="00B39DEB">
      <w:pPr>
        <w:widowControl/>
        <w:ind w:firstLine="480" w:firstLineChars="200"/>
        <w:jc w:val="left"/>
        <w:rPr>
          <w:rFonts w:hint="eastAsia" w:cs="宋体" w:asciiTheme="minorEastAsia" w:hAnsiTheme="minorEastAsia"/>
          <w:color w:val="000000"/>
          <w:kern w:val="0"/>
          <w:sz w:val="24"/>
          <w:szCs w:val="24"/>
          <w:u w:val="single"/>
        </w:rPr>
      </w:pPr>
      <w:r>
        <w:rPr>
          <w:rFonts w:hint="eastAsia" w:cs="宋体" w:asciiTheme="minorEastAsia" w:hAnsiTheme="minorEastAsia"/>
          <w:color w:val="000000"/>
          <w:kern w:val="0"/>
          <w:sz w:val="24"/>
          <w:szCs w:val="24"/>
          <w:u w:val="single"/>
        </w:rPr>
        <w:t>1）具有独立承担民事责任的能力：在中华人民共和国境内注册的法人或其他组织或自然人， 投标（响应）时提交有效的营业执照（或事业法人登记证或身份证等相关证明）复印件。分支机构投标的，须提供总公司和分公司营业执照复印件，总公司出具给分支机构的授权书。</w:t>
      </w:r>
    </w:p>
    <w:p w14:paraId="42428755">
      <w:pPr>
        <w:widowControl/>
        <w:ind w:firstLine="480" w:firstLineChars="200"/>
        <w:jc w:val="left"/>
        <w:rPr>
          <w:rFonts w:hint="eastAsia" w:cs="宋体" w:asciiTheme="minorEastAsia" w:hAnsiTheme="minorEastAsia"/>
          <w:color w:val="000000"/>
          <w:kern w:val="0"/>
          <w:sz w:val="24"/>
          <w:szCs w:val="24"/>
          <w:u w:val="single"/>
        </w:rPr>
      </w:pPr>
      <w:r>
        <w:rPr>
          <w:rFonts w:hint="eastAsia" w:cs="宋体" w:asciiTheme="minorEastAsia" w:hAnsiTheme="minorEastAsia"/>
          <w:color w:val="000000"/>
          <w:kern w:val="0"/>
          <w:sz w:val="24"/>
          <w:szCs w:val="24"/>
          <w:u w:val="single"/>
        </w:rPr>
        <w:t>2）有依法缴纳税收和社会保障资金的良好记录：提供投标截止日前6个月内任意1个月依法缴纳税收和社会保障资金的相关材料。如依法免税或不需要缴纳社会保障资金的，须提供相应证明材料。或提供《资格条件承诺函》。</w:t>
      </w:r>
    </w:p>
    <w:p w14:paraId="7EA4134B">
      <w:pPr>
        <w:widowControl/>
        <w:ind w:firstLine="480" w:firstLineChars="200"/>
        <w:jc w:val="left"/>
        <w:rPr>
          <w:rFonts w:hint="eastAsia" w:cs="宋体" w:asciiTheme="minorEastAsia" w:hAnsiTheme="minorEastAsia"/>
          <w:color w:val="000000"/>
          <w:kern w:val="0"/>
          <w:sz w:val="24"/>
          <w:szCs w:val="24"/>
          <w:u w:val="single"/>
        </w:rPr>
      </w:pPr>
      <w:r>
        <w:rPr>
          <w:rFonts w:hint="eastAsia" w:cs="宋体" w:asciiTheme="minorEastAsia" w:hAnsiTheme="minorEastAsia"/>
          <w:color w:val="000000"/>
          <w:kern w:val="0"/>
          <w:sz w:val="24"/>
          <w:szCs w:val="24"/>
          <w:u w:val="single"/>
        </w:rPr>
        <w:t>3）具有良好的商业信誉和健全的财务会计制度：提供投标截止日前3年内任意1年的财务状况报告或提供基本开户行出具的资信证明。或提供《资格条件承诺函》。</w:t>
      </w:r>
    </w:p>
    <w:p w14:paraId="5551C736">
      <w:pPr>
        <w:widowControl/>
        <w:ind w:firstLine="480" w:firstLineChars="200"/>
        <w:jc w:val="left"/>
        <w:rPr>
          <w:rFonts w:hint="eastAsia" w:cs="宋体" w:asciiTheme="minorEastAsia" w:hAnsiTheme="minorEastAsia"/>
          <w:color w:val="000000"/>
          <w:kern w:val="0"/>
          <w:sz w:val="24"/>
          <w:szCs w:val="24"/>
          <w:u w:val="single"/>
        </w:rPr>
      </w:pPr>
      <w:r>
        <w:rPr>
          <w:rFonts w:hint="eastAsia" w:cs="宋体" w:asciiTheme="minorEastAsia" w:hAnsiTheme="minorEastAsia"/>
          <w:color w:val="000000"/>
          <w:kern w:val="0"/>
          <w:sz w:val="24"/>
          <w:szCs w:val="24"/>
          <w:u w:val="single"/>
        </w:rPr>
        <w:t>4）履行合同所必需的设备和专业技术能力：按投标（响应）文件格式填报设备及专业技术能力情况。或提供《资格条件承诺函》。</w:t>
      </w:r>
    </w:p>
    <w:p w14:paraId="13D40F58">
      <w:pPr>
        <w:widowControl/>
        <w:ind w:firstLine="480" w:firstLineChars="200"/>
        <w:jc w:val="left"/>
        <w:rPr>
          <w:rFonts w:hint="eastAsia" w:cs="宋体" w:asciiTheme="minorEastAsia" w:hAnsiTheme="minorEastAsia"/>
          <w:color w:val="000000"/>
          <w:kern w:val="0"/>
          <w:sz w:val="24"/>
          <w:szCs w:val="24"/>
          <w:u w:val="single"/>
        </w:rPr>
      </w:pPr>
      <w:r>
        <w:rPr>
          <w:rFonts w:hint="eastAsia" w:cs="宋体" w:asciiTheme="minorEastAsia" w:hAnsiTheme="minorEastAsia"/>
          <w:color w:val="000000"/>
          <w:kern w:val="0"/>
          <w:sz w:val="24"/>
          <w:szCs w:val="24"/>
          <w:u w:val="single"/>
        </w:rPr>
        <w:t>5）参加采购活动前3年内，在经营活动中没有重大违法记录：参照投标（报价）函相关承诺格式内容。重大违法记录，是指供应商因违法经营受到刑事处罚或者责令停产停业、吊销许可证或者执照、较大数额罚款等行政处罚。（“较大数额罚款”认定为200万元以上的罚款，法律、行政法规以及国务院有关部门明确规定相关领域“较大数额罚款”标准高于200万元的，从其规定。）</w:t>
      </w:r>
    </w:p>
    <w:p w14:paraId="01F3E3C8">
      <w:pPr>
        <w:widowControl/>
        <w:ind w:firstLine="480" w:firstLineChars="200"/>
        <w:jc w:val="left"/>
        <w:rPr>
          <w:rFonts w:hint="eastAsia" w:cs="宋体" w:asciiTheme="minorEastAsia" w:hAnsiTheme="minorEastAsia"/>
          <w:color w:val="000000"/>
          <w:kern w:val="0"/>
          <w:sz w:val="24"/>
          <w:szCs w:val="24"/>
          <w:u w:val="single"/>
        </w:rPr>
      </w:pPr>
      <w:r>
        <w:rPr>
          <w:rFonts w:hint="eastAsia" w:cs="宋体" w:asciiTheme="minorEastAsia" w:hAnsiTheme="minorEastAsia"/>
          <w:color w:val="000000"/>
          <w:kern w:val="0"/>
          <w:sz w:val="24"/>
          <w:szCs w:val="24"/>
          <w:u w:val="single"/>
        </w:rPr>
        <w:t>2.落实政府采购政策需满足的资格要求：</w:t>
      </w:r>
    </w:p>
    <w:p w14:paraId="42729052">
      <w:pPr>
        <w:widowControl/>
        <w:ind w:firstLine="480" w:firstLineChars="200"/>
        <w:jc w:val="left"/>
        <w:rPr>
          <w:rFonts w:hint="eastAsia" w:cs="宋体" w:asciiTheme="minorEastAsia" w:hAnsiTheme="minorEastAsia"/>
          <w:color w:val="000000"/>
          <w:kern w:val="0"/>
          <w:sz w:val="24"/>
          <w:szCs w:val="24"/>
          <w:u w:val="single"/>
        </w:rPr>
      </w:pPr>
      <w:r>
        <w:rPr>
          <w:rFonts w:hint="eastAsia" w:cs="宋体" w:asciiTheme="minorEastAsia" w:hAnsiTheme="minorEastAsia"/>
          <w:color w:val="000000"/>
          <w:kern w:val="0"/>
          <w:sz w:val="24"/>
          <w:szCs w:val="24"/>
          <w:u w:val="single"/>
        </w:rPr>
        <w:t>本项目</w:t>
      </w:r>
      <w:r>
        <w:rPr>
          <w:rFonts w:hint="eastAsia" w:cs="宋体" w:asciiTheme="minorEastAsia" w:hAnsiTheme="minorEastAsia"/>
          <w:color w:val="000000"/>
          <w:kern w:val="0"/>
          <w:sz w:val="24"/>
          <w:szCs w:val="24"/>
          <w:u w:val="single"/>
          <w:lang w:val="en-US" w:eastAsia="zh-CN"/>
        </w:rPr>
        <w:t>不</w:t>
      </w:r>
      <w:r>
        <w:rPr>
          <w:rFonts w:hint="eastAsia" w:cs="宋体" w:asciiTheme="minorEastAsia" w:hAnsiTheme="minorEastAsia"/>
          <w:color w:val="000000"/>
          <w:kern w:val="0"/>
          <w:sz w:val="24"/>
          <w:szCs w:val="24"/>
          <w:u w:val="single"/>
        </w:rPr>
        <w:t>属于专门面向中小微企业采购的项目。</w:t>
      </w:r>
    </w:p>
    <w:p w14:paraId="0FE8BF48">
      <w:pPr>
        <w:widowControl/>
        <w:ind w:firstLine="480" w:firstLineChars="200"/>
        <w:jc w:val="left"/>
        <w:rPr>
          <w:rFonts w:hint="eastAsia" w:cs="宋体" w:asciiTheme="minorEastAsia" w:hAnsiTheme="minorEastAsia"/>
          <w:color w:val="000000"/>
          <w:kern w:val="0"/>
          <w:sz w:val="24"/>
          <w:szCs w:val="24"/>
          <w:u w:val="single"/>
        </w:rPr>
      </w:pPr>
      <w:r>
        <w:rPr>
          <w:rFonts w:hint="eastAsia" w:cs="宋体" w:asciiTheme="minorEastAsia" w:hAnsiTheme="minorEastAsia"/>
          <w:color w:val="000000"/>
          <w:kern w:val="0"/>
          <w:sz w:val="24"/>
          <w:szCs w:val="24"/>
          <w:u w:val="single"/>
        </w:rPr>
        <w:t>3.本项目特定的资格要求：</w:t>
      </w:r>
    </w:p>
    <w:p w14:paraId="6896D81C">
      <w:pPr>
        <w:widowControl/>
        <w:ind w:firstLine="480" w:firstLineChars="200"/>
        <w:jc w:val="left"/>
        <w:rPr>
          <w:rFonts w:hint="eastAsia" w:cs="宋体" w:asciiTheme="minorEastAsia" w:hAnsiTheme="minorEastAsia"/>
          <w:color w:val="000000"/>
          <w:kern w:val="0"/>
          <w:sz w:val="24"/>
          <w:szCs w:val="24"/>
          <w:u w:val="single"/>
        </w:rPr>
      </w:pPr>
      <w:r>
        <w:rPr>
          <w:rFonts w:hint="eastAsia" w:cs="宋体" w:asciiTheme="minorEastAsia" w:hAnsiTheme="minorEastAsia"/>
          <w:color w:val="000000"/>
          <w:kern w:val="0"/>
          <w:sz w:val="24"/>
          <w:szCs w:val="24"/>
          <w:u w:val="single"/>
        </w:rPr>
        <w:t>采购包1（2026年塘厦镇鼎湖科技园周边道路安装交通信号灯、电子监控抓拍设备建设项目）：</w:t>
      </w:r>
    </w:p>
    <w:p w14:paraId="6B3DC172">
      <w:pPr>
        <w:widowControl/>
        <w:ind w:firstLine="480" w:firstLineChars="200"/>
        <w:jc w:val="left"/>
        <w:rPr>
          <w:rFonts w:hint="eastAsia" w:cs="宋体" w:asciiTheme="minorEastAsia" w:hAnsiTheme="minorEastAsia"/>
          <w:color w:val="000000"/>
          <w:kern w:val="0"/>
          <w:sz w:val="24"/>
          <w:szCs w:val="24"/>
          <w:u w:val="single"/>
        </w:rPr>
      </w:pPr>
      <w:r>
        <w:rPr>
          <w:rFonts w:hint="eastAsia" w:cs="宋体" w:asciiTheme="minorEastAsia" w:hAnsiTheme="minorEastAsia"/>
          <w:color w:val="000000"/>
          <w:kern w:val="0"/>
          <w:sz w:val="24"/>
          <w:szCs w:val="24"/>
          <w:u w:val="single"/>
        </w:rPr>
        <w:t>1)投标人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以采购代理机构于投标（响应） 截止时间当天在“信用中国”网站（www.creditchina.gov.cn）及中国政府采购网（http://www.ccgp.gov.cn/）查询结果为准，如相关失信记录已失效，供应商需提供相关证明资料）</w:t>
      </w:r>
    </w:p>
    <w:p w14:paraId="2453DE2C">
      <w:pPr>
        <w:widowControl/>
        <w:ind w:firstLine="480" w:firstLineChars="20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u w:val="single"/>
        </w:rPr>
        <w:t xml:space="preserve">2)单位负责人为同一人或者存在直接控股、 管理关系的不同供应商，不得同时参加本采购项目（或采购包）投标（响应）。为本项目提供整体设计、规范编制或者项目管理、监理、检测等服务的供应商，不得再参与本项目投标（响应）。投标（报价）函相关承诺要求内容。 </w:t>
      </w:r>
      <w:r>
        <w:rPr>
          <w:rFonts w:hint="eastAsia" w:cs="宋体" w:asciiTheme="minorEastAsia" w:hAnsiTheme="minorEastAsia"/>
          <w:color w:val="000000"/>
          <w:kern w:val="0"/>
          <w:sz w:val="24"/>
          <w:szCs w:val="24"/>
        </w:rPr>
        <w:t> </w:t>
      </w:r>
    </w:p>
    <w:p w14:paraId="33C08676">
      <w:pPr>
        <w:widowControl/>
        <w:ind w:firstLine="482" w:firstLineChars="200"/>
        <w:jc w:val="left"/>
        <w:rPr>
          <w:rFonts w:cs="宋体" w:asciiTheme="minorEastAsia" w:hAnsiTheme="minorEastAsia"/>
          <w:b/>
          <w:color w:val="000000"/>
          <w:kern w:val="0"/>
          <w:sz w:val="24"/>
          <w:szCs w:val="24"/>
        </w:rPr>
      </w:pPr>
      <w:r>
        <w:rPr>
          <w:rFonts w:cs="宋体" w:asciiTheme="minorEastAsia" w:hAnsiTheme="minorEastAsia"/>
          <w:b/>
          <w:color w:val="000000"/>
          <w:kern w:val="0"/>
          <w:sz w:val="24"/>
          <w:szCs w:val="24"/>
        </w:rPr>
        <w:t>（八）竞争范围</w:t>
      </w:r>
    </w:p>
    <w:p w14:paraId="748FAC44">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1.包1</w:t>
      </w:r>
    </w:p>
    <w:p w14:paraId="31583899">
      <w:pPr>
        <w:widowControl/>
        <w:ind w:firstLine="480" w:firstLineChars="20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lang w:eastAsia="zh-CN"/>
        </w:rPr>
        <w:t>☑</w:t>
      </w:r>
      <w:r>
        <w:rPr>
          <w:rFonts w:cs="宋体" w:asciiTheme="minorEastAsia" w:hAnsiTheme="minorEastAsia"/>
          <w:color w:val="000000"/>
          <w:kern w:val="0"/>
          <w:sz w:val="24"/>
          <w:szCs w:val="24"/>
        </w:rPr>
        <w:t>公开方式</w:t>
      </w:r>
    </w:p>
    <w:p w14:paraId="02ACDB48">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w:t>
      </w:r>
      <w:r>
        <w:rPr>
          <w:rFonts w:hint="eastAsia" w:cs="宋体" w:asciiTheme="minorEastAsia" w:hAnsiTheme="minorEastAsia"/>
          <w:color w:val="000000"/>
          <w:kern w:val="0"/>
          <w:sz w:val="24"/>
          <w:szCs w:val="24"/>
        </w:rPr>
        <w:t>非公开</w:t>
      </w:r>
      <w:r>
        <w:rPr>
          <w:rFonts w:cs="宋体" w:asciiTheme="minorEastAsia" w:hAnsiTheme="minorEastAsia"/>
          <w:color w:val="000000"/>
          <w:kern w:val="0"/>
          <w:sz w:val="24"/>
          <w:szCs w:val="24"/>
        </w:rPr>
        <w:t>方式，依据：</w:t>
      </w:r>
      <w:r>
        <w:rPr>
          <w:rFonts w:hint="eastAsia" w:cs="宋体" w:asciiTheme="minorEastAsia" w:hAnsiTheme="minorEastAsia"/>
          <w:color w:val="000000"/>
          <w:kern w:val="0"/>
          <w:sz w:val="24"/>
          <w:szCs w:val="24"/>
          <w:u w:val="single"/>
        </w:rPr>
        <w:t xml:space="preserve">                             </w:t>
      </w:r>
    </w:p>
    <w:p w14:paraId="0B4F15BB">
      <w:pPr>
        <w:widowControl/>
        <w:ind w:firstLine="482" w:firstLineChars="200"/>
        <w:jc w:val="left"/>
        <w:rPr>
          <w:rFonts w:cs="宋体" w:asciiTheme="minorEastAsia" w:hAnsiTheme="minorEastAsia"/>
          <w:b/>
          <w:color w:val="000000"/>
          <w:kern w:val="0"/>
          <w:sz w:val="24"/>
          <w:szCs w:val="24"/>
        </w:rPr>
      </w:pPr>
      <w:r>
        <w:rPr>
          <w:rFonts w:cs="宋体" w:asciiTheme="minorEastAsia" w:hAnsiTheme="minorEastAsia"/>
          <w:b/>
          <w:color w:val="000000"/>
          <w:kern w:val="0"/>
          <w:sz w:val="24"/>
          <w:szCs w:val="24"/>
        </w:rPr>
        <w:t>（九）评审规则</w:t>
      </w:r>
    </w:p>
    <w:p w14:paraId="7DFCA97A">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1.包1</w:t>
      </w:r>
    </w:p>
    <w:p w14:paraId="7ECCB741">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□最低评标价法，选择该评审规则的理由：</w:t>
      </w:r>
      <w:r>
        <w:rPr>
          <w:rFonts w:hint="eastAsia" w:cs="宋体" w:asciiTheme="minorEastAsia" w:hAnsiTheme="minorEastAsia"/>
          <w:color w:val="000000"/>
          <w:kern w:val="0"/>
          <w:sz w:val="24"/>
          <w:szCs w:val="24"/>
          <w:u w:val="single"/>
        </w:rPr>
        <w:t xml:space="preserve">                   </w:t>
      </w:r>
    </w:p>
    <w:p w14:paraId="14398A8C">
      <w:pPr>
        <w:widowControl/>
        <w:ind w:firstLine="480" w:firstLineChars="20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lang w:eastAsia="zh-CN"/>
        </w:rPr>
        <w:t>☑</w:t>
      </w:r>
      <w:r>
        <w:rPr>
          <w:rFonts w:cs="宋体" w:asciiTheme="minorEastAsia" w:hAnsiTheme="minorEastAsia"/>
          <w:color w:val="000000"/>
          <w:kern w:val="0"/>
          <w:sz w:val="24"/>
          <w:szCs w:val="24"/>
        </w:rPr>
        <w:t>综合评分法，选择该评审规则的理由：</w:t>
      </w:r>
      <w:r>
        <w:rPr>
          <w:rFonts w:hint="eastAsia" w:cs="宋体" w:asciiTheme="minorEastAsia" w:hAnsiTheme="minorEastAsia"/>
          <w:color w:val="000000"/>
          <w:kern w:val="0"/>
          <w:sz w:val="24"/>
          <w:szCs w:val="24"/>
          <w:u w:val="single"/>
        </w:rPr>
        <w:t xml:space="preserve">                   </w:t>
      </w:r>
    </w:p>
    <w:tbl>
      <w:tblPr>
        <w:tblStyle w:val="7"/>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22"/>
        <w:gridCol w:w="2307"/>
        <w:gridCol w:w="5076"/>
      </w:tblGrid>
      <w:tr w14:paraId="0778EC2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2" w:type="dxa"/>
            <w:vAlign w:val="center"/>
          </w:tcPr>
          <w:p w14:paraId="1607BD72">
            <w:pPr>
              <w:pStyle w:val="12"/>
              <w:jc w:val="center"/>
            </w:pPr>
            <w:r>
              <w:t>评审因素</w:t>
            </w:r>
          </w:p>
        </w:tc>
        <w:tc>
          <w:tcPr>
            <w:tcW w:w="7383" w:type="dxa"/>
            <w:gridSpan w:val="2"/>
            <w:vAlign w:val="center"/>
          </w:tcPr>
          <w:p w14:paraId="17ADA5A5">
            <w:pPr>
              <w:pStyle w:val="12"/>
              <w:jc w:val="center"/>
            </w:pPr>
            <w:r>
              <w:t>评审标准</w:t>
            </w:r>
          </w:p>
        </w:tc>
      </w:tr>
      <w:tr w14:paraId="560E087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2" w:type="dxa"/>
            <w:vAlign w:val="center"/>
          </w:tcPr>
          <w:p w14:paraId="43817312">
            <w:pPr>
              <w:pStyle w:val="12"/>
              <w:jc w:val="center"/>
            </w:pPr>
            <w:r>
              <w:t>分值构成</w:t>
            </w:r>
          </w:p>
        </w:tc>
        <w:tc>
          <w:tcPr>
            <w:tcW w:w="7383" w:type="dxa"/>
            <w:gridSpan w:val="2"/>
            <w:vAlign w:val="center"/>
          </w:tcPr>
          <w:p w14:paraId="54D3C8FF">
            <w:pPr>
              <w:pStyle w:val="12"/>
            </w:pPr>
            <w:r>
              <w:t>商务部分15.0分</w:t>
            </w:r>
          </w:p>
          <w:p w14:paraId="15E15B50">
            <w:pPr>
              <w:pStyle w:val="12"/>
            </w:pPr>
            <w:r>
              <w:t>技术部分55.0分</w:t>
            </w:r>
          </w:p>
          <w:p w14:paraId="5D5A53CB">
            <w:pPr>
              <w:pStyle w:val="12"/>
            </w:pPr>
            <w:r>
              <w:t>报价得分30.0分</w:t>
            </w:r>
          </w:p>
        </w:tc>
      </w:tr>
      <w:tr w14:paraId="5F658A5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2" w:type="dxa"/>
            <w:vMerge w:val="restart"/>
            <w:vAlign w:val="center"/>
          </w:tcPr>
          <w:p w14:paraId="772F9FC0">
            <w:pPr>
              <w:pStyle w:val="12"/>
              <w:jc w:val="center"/>
            </w:pPr>
            <w:r>
              <w:t>技术部分</w:t>
            </w:r>
          </w:p>
        </w:tc>
        <w:tc>
          <w:tcPr>
            <w:tcW w:w="2307" w:type="dxa"/>
            <w:vAlign w:val="center"/>
          </w:tcPr>
          <w:p w14:paraId="59A80D99">
            <w:pPr>
              <w:pStyle w:val="12"/>
              <w:jc w:val="left"/>
            </w:pPr>
            <w:r>
              <w:t>重要技术参数响应情况 (20.0分)</w:t>
            </w:r>
          </w:p>
        </w:tc>
        <w:tc>
          <w:tcPr>
            <w:tcW w:w="5076" w:type="dxa"/>
            <w:vAlign w:val="center"/>
          </w:tcPr>
          <w:p w14:paraId="7E2DA1B7">
            <w:pPr>
              <w:pStyle w:val="12"/>
              <w:jc w:val="left"/>
            </w:pPr>
            <w:r>
              <w:t>对采购需求中标注“▲”的重要技术参数的响应情况进行评分：（共10项，最高得20分）标注“▲”的重要技术参数每有一项响应为“正偏离”或“无偏离”的，该项得2分；响应为“负偏离”的，该项不得分。 （招标文件中采购需求明确要求提供证明资料的，以供应商提供的证明资料加盖投标人公章为准；</w:t>
            </w:r>
            <w:r>
              <w:rPr>
                <w:highlight w:val="none"/>
              </w:rPr>
              <w:t>招标文件中采购需求没有明确要求提供证明资料的，则以供应商提供所投产品彩页或原厂商的技术白皮书或原厂商所作的技术参数说明等详细技术资料复印件加盖供应商公章；）</w:t>
            </w:r>
          </w:p>
        </w:tc>
      </w:tr>
      <w:tr w14:paraId="7E4FE65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2" w:type="dxa"/>
            <w:vMerge w:val="continue"/>
            <w:vAlign w:val="center"/>
          </w:tcPr>
          <w:p w14:paraId="2B3AFBFF"/>
        </w:tc>
        <w:tc>
          <w:tcPr>
            <w:tcW w:w="2307" w:type="dxa"/>
            <w:vAlign w:val="center"/>
          </w:tcPr>
          <w:p w14:paraId="74049F51">
            <w:pPr>
              <w:pStyle w:val="12"/>
              <w:jc w:val="left"/>
            </w:pPr>
            <w:r>
              <w:t>整体实施方案 (5.0分)</w:t>
            </w:r>
          </w:p>
        </w:tc>
        <w:tc>
          <w:tcPr>
            <w:tcW w:w="5076" w:type="dxa"/>
            <w:vAlign w:val="center"/>
          </w:tcPr>
          <w:p w14:paraId="19FA836D">
            <w:pPr>
              <w:pStyle w:val="12"/>
              <w:jc w:val="left"/>
            </w:pPr>
            <w:r>
              <w:t>根据投标人所提供整体实施方案的详细性、合理性、针对性等进行评分： 1.实施方案详细完整合理，方案针对性高，切合本项目需求，得5分； 2.实施方案较详细，方案针对性和合理性良好，较为满足本项目需求，得3分； 3.实施方案一般，方案针对性和合理性不够完善，得1分； 4.未提供实施方案不得分。</w:t>
            </w:r>
          </w:p>
        </w:tc>
      </w:tr>
      <w:tr w14:paraId="77111DD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2" w:type="dxa"/>
            <w:vMerge w:val="continue"/>
            <w:vAlign w:val="center"/>
          </w:tcPr>
          <w:p w14:paraId="26F77C26"/>
        </w:tc>
        <w:tc>
          <w:tcPr>
            <w:tcW w:w="2307" w:type="dxa"/>
            <w:vAlign w:val="center"/>
          </w:tcPr>
          <w:p w14:paraId="10915663">
            <w:pPr>
              <w:pStyle w:val="12"/>
              <w:jc w:val="left"/>
            </w:pPr>
            <w:r>
              <w:t>售后服务方案 (5.0分)</w:t>
            </w:r>
          </w:p>
        </w:tc>
        <w:tc>
          <w:tcPr>
            <w:tcW w:w="5076" w:type="dxa"/>
            <w:vAlign w:val="center"/>
          </w:tcPr>
          <w:p w14:paraId="005CFE92">
            <w:pPr>
              <w:pStyle w:val="12"/>
              <w:jc w:val="left"/>
            </w:pPr>
            <w:r>
              <w:t>根据投标人提供的售后服务方案进行评分： 1.售后服务及质量保证承诺完善且具体，科学合理，可行性高，得5分； 2.质量保证承诺完整，科学合理，可行性良好，得3分； 3.质量保证承诺不完整，缺乏合理性，得1分； 4.未提供售后服务方案不得分。</w:t>
            </w:r>
          </w:p>
        </w:tc>
      </w:tr>
      <w:tr w14:paraId="05A0B94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2" w:type="dxa"/>
            <w:vMerge w:val="continue"/>
            <w:vAlign w:val="center"/>
          </w:tcPr>
          <w:p w14:paraId="0399F373"/>
        </w:tc>
        <w:tc>
          <w:tcPr>
            <w:tcW w:w="2307" w:type="dxa"/>
            <w:vAlign w:val="center"/>
          </w:tcPr>
          <w:p w14:paraId="1220FFA2">
            <w:pPr>
              <w:pStyle w:val="12"/>
              <w:jc w:val="left"/>
            </w:pPr>
            <w:r>
              <w:t>应急保障方案 (5.0分)</w:t>
            </w:r>
          </w:p>
        </w:tc>
        <w:tc>
          <w:tcPr>
            <w:tcW w:w="5076" w:type="dxa"/>
            <w:vAlign w:val="center"/>
          </w:tcPr>
          <w:p w14:paraId="0B9696CA">
            <w:pPr>
              <w:pStyle w:val="12"/>
              <w:jc w:val="left"/>
            </w:pPr>
            <w:r>
              <w:t>根据投标人提供的应急保障方案进行评分： 1.应急措施方案详细完整，人员配备完善，能提供优质的应急保障工作，有详细培训方案，安排合理且周全，得5分； 2.应急措施方案较完整，人员配备较合理，能提供基本保障工作，有设置完整的培训方案，安排较合理、较周全，得3分； 3.应急措施方案不完整，人员配备不合理，未能提供基本应急保障工作，有应急保障方案但不合理，能提供培训方案，但培训安排不详细，得1分； 4.未提供应急保障方案不得分。</w:t>
            </w:r>
          </w:p>
        </w:tc>
      </w:tr>
      <w:tr w14:paraId="77A7C86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2" w:type="dxa"/>
            <w:vMerge w:val="continue"/>
            <w:vAlign w:val="center"/>
          </w:tcPr>
          <w:p w14:paraId="30A2F96B"/>
        </w:tc>
        <w:tc>
          <w:tcPr>
            <w:tcW w:w="2307" w:type="dxa"/>
            <w:vAlign w:val="center"/>
          </w:tcPr>
          <w:p w14:paraId="3FFA3D9E">
            <w:pPr>
              <w:pStyle w:val="12"/>
              <w:jc w:val="left"/>
            </w:pPr>
            <w:r>
              <w:t>拟投入本项目人员情况 (20.0分)</w:t>
            </w:r>
          </w:p>
        </w:tc>
        <w:tc>
          <w:tcPr>
            <w:tcW w:w="5076" w:type="dxa"/>
            <w:vAlign w:val="center"/>
          </w:tcPr>
          <w:p w14:paraId="6697FFEA">
            <w:pPr>
              <w:pStyle w:val="12"/>
              <w:jc w:val="left"/>
            </w:pPr>
            <w:r>
              <w:t>1、投标人拟投入的本项目的项目经理（仅一人）进行评审： ①具有由人力资源和社会保障部门（含原人事部门）颁发的系统分析师、系统架构设计师、数据库系统工程师、网络工程师；以上证书每提供一个得3分，最高得12分； 2、投标人拟投入的本项目的技术负责人（仅一人）进行评审： ①具有由人力资源和社会保障部门（含原人社部）或工业和信息化部门（含原信产部）颁发的通信专业技术人员职业资格证书； ②具有由人力资源和社会保障部门（含原人社部）或工业和信息化部门（含原信产部）颁发的信息系统项目管理师证书； 以上证书每提供一个得2分，最高得4分。 3、投标人拟投入的本项目服务人员（项目经理、技术负责人除外）： 具有由人力资源和社会保障部门（含原人事部门）颁发的中级或以上工程师证书（专业为通信类或网络类或电子类）的，每提供1名得2分，最高得4分。 注：1.项目经理与技术负责人不能为同一人。 2.须提供有效人员证书复印件、距开标时间（不含当月）近半年内任意1个月由社会保障部门出具的投标人（或其分支机构）为其缴纳社会保险的有效凭证的复印件并加盖投标人公章。</w:t>
            </w:r>
          </w:p>
        </w:tc>
      </w:tr>
      <w:tr w14:paraId="6C98EA6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2" w:type="dxa"/>
            <w:vMerge w:val="restart"/>
            <w:vAlign w:val="center"/>
          </w:tcPr>
          <w:p w14:paraId="039946C1">
            <w:pPr>
              <w:pStyle w:val="12"/>
              <w:jc w:val="center"/>
            </w:pPr>
            <w:r>
              <w:t>商务部分</w:t>
            </w:r>
          </w:p>
        </w:tc>
        <w:tc>
          <w:tcPr>
            <w:tcW w:w="2307" w:type="dxa"/>
            <w:vAlign w:val="center"/>
          </w:tcPr>
          <w:p w14:paraId="302C0C71">
            <w:pPr>
              <w:pStyle w:val="12"/>
              <w:jc w:val="left"/>
            </w:pPr>
            <w:r>
              <w:t>综合实力 (12.0分)</w:t>
            </w:r>
          </w:p>
        </w:tc>
        <w:tc>
          <w:tcPr>
            <w:tcW w:w="5076" w:type="dxa"/>
            <w:vAlign w:val="center"/>
          </w:tcPr>
          <w:p w14:paraId="0C5DAC82">
            <w:pPr>
              <w:pStyle w:val="12"/>
              <w:jc w:val="left"/>
            </w:pPr>
            <w:r>
              <w:t>投标人具有有效期内的以下认证证书： ①质量管理体系认证证书； ②关键信息基础设施安全保护认证证书； ③数据安全治理能力评估（四级或以上）； 每提供一个认证证书得4分，最高得12分。 注：须提供在有效期内的认证证书复印件或全国认证认可信息公共服务平台查询截图加盖投标人公章。（因企业成立时间不足，导致无法取得相关证书的，提供对应的相关证明资料并加盖投标人公章可得分。）</w:t>
            </w:r>
          </w:p>
        </w:tc>
      </w:tr>
      <w:tr w14:paraId="2D585CD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2" w:type="dxa"/>
            <w:vMerge w:val="continue"/>
            <w:vAlign w:val="center"/>
          </w:tcPr>
          <w:p w14:paraId="40126111"/>
        </w:tc>
        <w:tc>
          <w:tcPr>
            <w:tcW w:w="2307" w:type="dxa"/>
            <w:vAlign w:val="center"/>
          </w:tcPr>
          <w:p w14:paraId="68FFCD0E">
            <w:pPr>
              <w:pStyle w:val="12"/>
              <w:jc w:val="left"/>
            </w:pPr>
            <w:r>
              <w:t>业绩 (3.0分)</w:t>
            </w:r>
          </w:p>
        </w:tc>
        <w:tc>
          <w:tcPr>
            <w:tcW w:w="5076" w:type="dxa"/>
            <w:vAlign w:val="center"/>
          </w:tcPr>
          <w:p w14:paraId="03A4482E">
            <w:pPr>
              <w:pStyle w:val="12"/>
              <w:jc w:val="left"/>
            </w:pPr>
            <w:r>
              <w:t>投标人承接的信号灯/电子警察类项目业绩。每提供一项得1分，满分3分。 注：提供合同关键页复印件（包括但不限于合同封面页、金额页及签署页，要求字迹清晰、内容完整）加盖投标人公章，提供范围包含投标人及其分支机构。</w:t>
            </w:r>
          </w:p>
        </w:tc>
      </w:tr>
      <w:tr w14:paraId="03591BE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2" w:type="dxa"/>
            <w:vAlign w:val="center"/>
          </w:tcPr>
          <w:p w14:paraId="69060419">
            <w:pPr>
              <w:pStyle w:val="12"/>
              <w:jc w:val="center"/>
            </w:pPr>
            <w:r>
              <w:t>投标报价</w:t>
            </w:r>
          </w:p>
        </w:tc>
        <w:tc>
          <w:tcPr>
            <w:tcW w:w="2307" w:type="dxa"/>
            <w:vAlign w:val="center"/>
          </w:tcPr>
          <w:p w14:paraId="74CBC0A7">
            <w:pPr>
              <w:pStyle w:val="12"/>
              <w:jc w:val="left"/>
            </w:pPr>
            <w:r>
              <w:t>投标报价得分 (30.0分)</w:t>
            </w:r>
          </w:p>
        </w:tc>
        <w:tc>
          <w:tcPr>
            <w:tcW w:w="5076" w:type="dxa"/>
            <w:vAlign w:val="center"/>
          </w:tcPr>
          <w:p w14:paraId="7D4F8E5C">
            <w:pPr>
              <w:pStyle w:val="12"/>
              <w:jc w:val="left"/>
            </w:pPr>
            <w:r>
              <w:t>投标报价得分＝（评标基准价/投标报价）×价格分值【注：满足招标文件要求且投标价格最低的投标报价为评标基准价。】最低报价不是中标的唯一依据。因落实政府采购政策进行价格调整的，以调整后的价格计算评标基准价和投标报价。</w:t>
            </w:r>
          </w:p>
        </w:tc>
      </w:tr>
    </w:tbl>
    <w:p w14:paraId="760A0FB0">
      <w:pPr>
        <w:widowControl/>
        <w:ind w:firstLine="480" w:firstLineChars="20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p>
    <w:p w14:paraId="4B490BB6">
      <w:pPr>
        <w:widowControl/>
        <w:ind w:firstLine="482" w:firstLineChars="200"/>
        <w:jc w:val="left"/>
        <w:rPr>
          <w:rFonts w:cs="宋体" w:asciiTheme="minorEastAsia" w:hAnsiTheme="minorEastAsia"/>
          <w:b/>
          <w:color w:val="000000"/>
          <w:kern w:val="0"/>
          <w:sz w:val="24"/>
          <w:szCs w:val="24"/>
        </w:rPr>
      </w:pPr>
      <w:r>
        <w:rPr>
          <w:rFonts w:cs="宋体" w:asciiTheme="minorEastAsia" w:hAnsiTheme="minorEastAsia"/>
          <w:b/>
          <w:color w:val="000000"/>
          <w:kern w:val="0"/>
          <w:sz w:val="24"/>
          <w:szCs w:val="24"/>
        </w:rPr>
        <w:t>二、合同管理安排</w:t>
      </w:r>
    </w:p>
    <w:p w14:paraId="7A957F25">
      <w:pPr>
        <w:widowControl/>
        <w:ind w:firstLine="482" w:firstLineChars="200"/>
        <w:jc w:val="left"/>
        <w:rPr>
          <w:rFonts w:cs="宋体" w:asciiTheme="minorEastAsia" w:hAnsiTheme="minorEastAsia"/>
          <w:b/>
          <w:color w:val="000000"/>
          <w:kern w:val="0"/>
          <w:sz w:val="24"/>
          <w:szCs w:val="24"/>
        </w:rPr>
      </w:pPr>
      <w:r>
        <w:rPr>
          <w:rFonts w:cs="宋体" w:asciiTheme="minorEastAsia" w:hAnsiTheme="minorEastAsia"/>
          <w:b/>
          <w:color w:val="000000"/>
          <w:kern w:val="0"/>
          <w:sz w:val="24"/>
          <w:szCs w:val="24"/>
        </w:rPr>
        <w:t>（一）合同类型</w:t>
      </w:r>
    </w:p>
    <w:p w14:paraId="08F5687D">
      <w:pPr>
        <w:widowControl/>
        <w:ind w:firstLine="480" w:firstLineChars="200"/>
        <w:jc w:val="left"/>
        <w:rPr>
          <w:rFonts w:cs="宋体" w:asciiTheme="minorEastAsia" w:hAnsiTheme="minorEastAsia"/>
          <w:i w:val="0"/>
          <w:iCs w:val="0"/>
          <w:color w:val="000000"/>
          <w:kern w:val="0"/>
          <w:sz w:val="24"/>
          <w:szCs w:val="24"/>
        </w:rPr>
      </w:pPr>
      <w:r>
        <w:rPr>
          <w:rFonts w:cs="宋体" w:asciiTheme="minorEastAsia" w:hAnsiTheme="minorEastAsia"/>
          <w:i w:val="0"/>
          <w:iCs w:val="0"/>
          <w:color w:val="000000"/>
          <w:kern w:val="0"/>
          <w:sz w:val="24"/>
          <w:szCs w:val="24"/>
          <w:u w:val="single"/>
        </w:rPr>
        <w:t>合同类型按照民法典规定的典型合同类别，结合采购标的的实际情况确定。</w:t>
      </w:r>
    </w:p>
    <w:p w14:paraId="658533F9">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1.包1</w:t>
      </w:r>
    </w:p>
    <w:p w14:paraId="7E4A1527">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□买卖合同</w:t>
      </w:r>
    </w:p>
    <w:p w14:paraId="239E25DD">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□建设工程合同</w:t>
      </w:r>
    </w:p>
    <w:p w14:paraId="477256F9">
      <w:pPr>
        <w:widowControl/>
        <w:ind w:firstLine="480" w:firstLineChars="200"/>
        <w:jc w:val="left"/>
        <w:rPr>
          <w:rFonts w:hint="eastAsia" w:cs="宋体" w:asciiTheme="minorEastAsia" w:hAnsiTheme="minorEastAsia"/>
          <w:color w:val="000000"/>
          <w:kern w:val="0"/>
          <w:sz w:val="24"/>
          <w:szCs w:val="24"/>
        </w:rPr>
      </w:pPr>
      <w:r>
        <w:rPr>
          <w:rFonts w:cs="宋体" w:asciiTheme="minorEastAsia" w:hAnsiTheme="minorEastAsia"/>
          <w:color w:val="000000"/>
          <w:kern w:val="0"/>
          <w:sz w:val="24"/>
          <w:szCs w:val="24"/>
        </w:rPr>
        <w:t>□技术合同</w:t>
      </w:r>
    </w:p>
    <w:p w14:paraId="586478E0">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w:t>
      </w:r>
      <w:r>
        <w:rPr>
          <w:rFonts w:hint="eastAsia" w:cs="宋体" w:asciiTheme="minorEastAsia" w:hAnsiTheme="minorEastAsia"/>
          <w:color w:val="000000"/>
          <w:kern w:val="0"/>
          <w:sz w:val="24"/>
          <w:szCs w:val="24"/>
        </w:rPr>
        <w:t>承揽</w:t>
      </w:r>
      <w:r>
        <w:rPr>
          <w:rFonts w:cs="宋体" w:asciiTheme="minorEastAsia" w:hAnsiTheme="minorEastAsia"/>
          <w:color w:val="000000"/>
          <w:kern w:val="0"/>
          <w:sz w:val="24"/>
          <w:szCs w:val="24"/>
        </w:rPr>
        <w:t>合同</w:t>
      </w:r>
    </w:p>
    <w:p w14:paraId="27C53147">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w:t>
      </w:r>
      <w:r>
        <w:rPr>
          <w:rFonts w:hint="eastAsia" w:cs="宋体" w:asciiTheme="minorEastAsia" w:hAnsiTheme="minorEastAsia"/>
          <w:color w:val="000000"/>
          <w:kern w:val="0"/>
          <w:sz w:val="24"/>
          <w:szCs w:val="24"/>
        </w:rPr>
        <w:t>租赁</w:t>
      </w:r>
      <w:r>
        <w:rPr>
          <w:rFonts w:cs="宋体" w:asciiTheme="minorEastAsia" w:hAnsiTheme="minorEastAsia"/>
          <w:color w:val="000000"/>
          <w:kern w:val="0"/>
          <w:sz w:val="24"/>
          <w:szCs w:val="24"/>
        </w:rPr>
        <w:t>合同</w:t>
      </w:r>
    </w:p>
    <w:p w14:paraId="03B4AB14">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□物业服务合同</w:t>
      </w:r>
    </w:p>
    <w:p w14:paraId="49ED6B9F">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□委托合同</w:t>
      </w:r>
    </w:p>
    <w:p w14:paraId="044BE974">
      <w:pPr>
        <w:widowControl/>
        <w:ind w:firstLine="480" w:firstLineChars="20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lang w:eastAsia="zh-CN"/>
        </w:rPr>
        <w:t>☑</w:t>
      </w:r>
      <w:r>
        <w:rPr>
          <w:rFonts w:cs="宋体" w:asciiTheme="minorEastAsia" w:hAnsiTheme="minorEastAsia"/>
          <w:color w:val="000000"/>
          <w:kern w:val="0"/>
          <w:sz w:val="24"/>
          <w:szCs w:val="24"/>
        </w:rPr>
        <w:t>其他：</w:t>
      </w:r>
      <w:r>
        <w:rPr>
          <w:rFonts w:hint="eastAsia" w:cs="宋体" w:asciiTheme="minorEastAsia" w:hAnsiTheme="minorEastAsia"/>
          <w:color w:val="000000"/>
          <w:kern w:val="0"/>
          <w:sz w:val="24"/>
          <w:szCs w:val="24"/>
          <w:u w:val="single"/>
        </w:rPr>
        <w:t xml:space="preserve">                             </w:t>
      </w:r>
    </w:p>
    <w:p w14:paraId="6FC2225A">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选择合同类型的理由：</w:t>
      </w:r>
      <w:r>
        <w:rPr>
          <w:rFonts w:hint="eastAsia" w:cs="宋体" w:asciiTheme="minorEastAsia" w:hAnsiTheme="minorEastAsia"/>
          <w:color w:val="000000"/>
          <w:kern w:val="0"/>
          <w:sz w:val="24"/>
          <w:szCs w:val="24"/>
          <w:u w:val="single"/>
        </w:rPr>
        <w:t xml:space="preserve">                             </w:t>
      </w:r>
      <w:r>
        <w:rPr>
          <w:rFonts w:hint="eastAsia" w:cs="宋体" w:asciiTheme="minorEastAsia" w:hAnsiTheme="minorEastAsia"/>
          <w:color w:val="000000"/>
          <w:kern w:val="0"/>
          <w:sz w:val="24"/>
          <w:szCs w:val="24"/>
        </w:rPr>
        <w:t> </w:t>
      </w:r>
    </w:p>
    <w:p w14:paraId="186E6BE8">
      <w:pPr>
        <w:widowControl/>
        <w:ind w:firstLine="482" w:firstLineChars="200"/>
        <w:jc w:val="left"/>
        <w:rPr>
          <w:rFonts w:cs="宋体" w:asciiTheme="minorEastAsia" w:hAnsiTheme="minorEastAsia"/>
          <w:b/>
          <w:color w:val="000000"/>
          <w:kern w:val="0"/>
          <w:sz w:val="24"/>
          <w:szCs w:val="24"/>
        </w:rPr>
      </w:pPr>
      <w:r>
        <w:rPr>
          <w:rFonts w:cs="宋体" w:asciiTheme="minorEastAsia" w:hAnsiTheme="minorEastAsia"/>
          <w:b/>
          <w:color w:val="000000"/>
          <w:kern w:val="0"/>
          <w:sz w:val="24"/>
          <w:szCs w:val="24"/>
        </w:rPr>
        <w:t>（二）定价方式</w:t>
      </w:r>
    </w:p>
    <w:p w14:paraId="72E15B36">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1.包1</w:t>
      </w:r>
    </w:p>
    <w:p w14:paraId="64B5DC6E">
      <w:pPr>
        <w:widowControl/>
        <w:ind w:firstLine="480" w:firstLineChars="20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lang w:eastAsia="zh-CN"/>
        </w:rPr>
        <w:t>☑</w:t>
      </w:r>
      <w:r>
        <w:rPr>
          <w:rFonts w:cs="宋体" w:asciiTheme="minorEastAsia" w:hAnsiTheme="minorEastAsia"/>
          <w:color w:val="000000"/>
          <w:kern w:val="0"/>
          <w:sz w:val="24"/>
          <w:szCs w:val="24"/>
        </w:rPr>
        <w:t>固定总价，要求：</w:t>
      </w:r>
      <w:r>
        <w:rPr>
          <w:rFonts w:hint="eastAsia" w:cs="宋体" w:asciiTheme="minorEastAsia" w:hAnsiTheme="minorEastAsia"/>
          <w:color w:val="000000"/>
          <w:kern w:val="0"/>
          <w:sz w:val="24"/>
          <w:szCs w:val="24"/>
          <w:u w:val="single"/>
        </w:rPr>
        <w:t xml:space="preserve"> 包含货物及所需附件的购置费、包装费、运输费、安装调试费、人工费、保险费、各种税费、验收费、售后服务费及合同实施过程中的应预见和不可预见费用等完成合同规定责任和义务、达到合同目的的一切费用。②包括所有应支付的对专利权和版权、设计或其他知识产权而需要向其他方支付的版税。 </w:t>
      </w:r>
    </w:p>
    <w:p w14:paraId="6206ACDF">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□固定单价，要求：</w:t>
      </w:r>
      <w:r>
        <w:rPr>
          <w:rFonts w:hint="eastAsia" w:cs="宋体" w:asciiTheme="minorEastAsia" w:hAnsiTheme="minorEastAsia"/>
          <w:color w:val="000000"/>
          <w:kern w:val="0"/>
          <w:sz w:val="24"/>
          <w:szCs w:val="24"/>
          <w:u w:val="single"/>
        </w:rPr>
        <w:t xml:space="preserve">                             </w:t>
      </w:r>
    </w:p>
    <w:p w14:paraId="7CEB252A">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□成本补偿，要求：</w:t>
      </w:r>
      <w:r>
        <w:rPr>
          <w:rFonts w:hint="eastAsia" w:cs="宋体" w:asciiTheme="minorEastAsia" w:hAnsiTheme="minorEastAsia"/>
          <w:color w:val="000000"/>
          <w:kern w:val="0"/>
          <w:sz w:val="24"/>
          <w:szCs w:val="24"/>
          <w:u w:val="single"/>
        </w:rPr>
        <w:t xml:space="preserve">                             </w:t>
      </w:r>
    </w:p>
    <w:p w14:paraId="140B6E4E">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□绩效激励，要求：</w:t>
      </w:r>
      <w:r>
        <w:rPr>
          <w:rFonts w:hint="eastAsia" w:cs="宋体" w:asciiTheme="minorEastAsia" w:hAnsiTheme="minorEastAsia"/>
          <w:color w:val="000000"/>
          <w:kern w:val="0"/>
          <w:sz w:val="24"/>
          <w:szCs w:val="24"/>
          <w:u w:val="single"/>
        </w:rPr>
        <w:t xml:space="preserve">                             </w:t>
      </w:r>
    </w:p>
    <w:p w14:paraId="7A84CB21">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选择定价方式的理由：</w:t>
      </w:r>
      <w:r>
        <w:rPr>
          <w:rFonts w:hint="eastAsia" w:cs="宋体" w:asciiTheme="minorEastAsia" w:hAnsiTheme="minorEastAsia"/>
          <w:color w:val="000000"/>
          <w:kern w:val="0"/>
          <w:sz w:val="24"/>
          <w:szCs w:val="24"/>
          <w:u w:val="single"/>
        </w:rPr>
        <w:t xml:space="preserve">                             </w:t>
      </w:r>
    </w:p>
    <w:p w14:paraId="1FFBFC97">
      <w:pPr>
        <w:widowControl/>
        <w:ind w:firstLine="480" w:firstLineChars="20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p>
    <w:p w14:paraId="17E42AED">
      <w:pPr>
        <w:widowControl/>
        <w:ind w:firstLine="482" w:firstLineChars="200"/>
        <w:jc w:val="left"/>
        <w:rPr>
          <w:rFonts w:cs="宋体" w:asciiTheme="minorEastAsia" w:hAnsiTheme="minorEastAsia"/>
          <w:b/>
          <w:color w:val="000000"/>
          <w:kern w:val="0"/>
          <w:sz w:val="24"/>
          <w:szCs w:val="24"/>
        </w:rPr>
      </w:pPr>
      <w:r>
        <w:rPr>
          <w:rFonts w:cs="宋体" w:asciiTheme="minorEastAsia" w:hAnsiTheme="minorEastAsia"/>
          <w:b/>
          <w:color w:val="000000"/>
          <w:kern w:val="0"/>
          <w:sz w:val="24"/>
          <w:szCs w:val="24"/>
        </w:rPr>
        <w:t>（三）合同文本的主要条款</w:t>
      </w:r>
    </w:p>
    <w:p w14:paraId="23C2E1C3">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1.包1</w:t>
      </w:r>
    </w:p>
    <w:p w14:paraId="035E94CB">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一、合同总价</w:t>
      </w:r>
    </w:p>
    <w:p w14:paraId="510C0233">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1.1货物需求一览表及技术规格：</w:t>
      </w:r>
    </w:p>
    <w:tbl>
      <w:tblPr>
        <w:tblStyle w:val="7"/>
        <w:tblW w:w="0" w:type="auto"/>
        <w:jc w:val="center"/>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fixed"/>
        <w:tblCellMar>
          <w:top w:w="0" w:type="dxa"/>
          <w:left w:w="108" w:type="dxa"/>
          <w:bottom w:w="0" w:type="dxa"/>
          <w:right w:w="108" w:type="dxa"/>
        </w:tblCellMar>
      </w:tblPr>
      <w:tblGrid>
        <w:gridCol w:w="605"/>
        <w:gridCol w:w="1044"/>
        <w:gridCol w:w="1634"/>
        <w:gridCol w:w="1014"/>
        <w:gridCol w:w="756"/>
        <w:gridCol w:w="635"/>
        <w:gridCol w:w="635"/>
        <w:gridCol w:w="711"/>
        <w:gridCol w:w="635"/>
        <w:gridCol w:w="635"/>
      </w:tblGrid>
      <w:tr w14:paraId="4D2866C9">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605" w:type="dxa"/>
            <w:tcBorders>
              <w:top w:val="single" w:color="000000" w:sz="4" w:space="0"/>
              <w:left w:val="single" w:color="000000" w:sz="4" w:space="0"/>
              <w:bottom w:val="single" w:color="000000" w:sz="4" w:space="0"/>
              <w:right w:val="single" w:color="000000" w:sz="4" w:space="0"/>
            </w:tcBorders>
          </w:tcPr>
          <w:p w14:paraId="6B2235B7">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序号</w:t>
            </w:r>
          </w:p>
        </w:tc>
        <w:tc>
          <w:tcPr>
            <w:tcW w:w="1044" w:type="dxa"/>
            <w:tcBorders>
              <w:top w:val="single" w:color="000000" w:sz="4" w:space="0"/>
              <w:left w:val="nil"/>
              <w:bottom w:val="single" w:color="000000" w:sz="4" w:space="0"/>
              <w:right w:val="single" w:color="000000" w:sz="4" w:space="0"/>
            </w:tcBorders>
          </w:tcPr>
          <w:p w14:paraId="1CCB1C06">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货物名称</w:t>
            </w:r>
          </w:p>
        </w:tc>
        <w:tc>
          <w:tcPr>
            <w:tcW w:w="1634" w:type="dxa"/>
            <w:tcBorders>
              <w:top w:val="single" w:color="000000" w:sz="4" w:space="0"/>
              <w:left w:val="nil"/>
              <w:bottom w:val="single" w:color="000000" w:sz="4" w:space="0"/>
              <w:right w:val="single" w:color="000000" w:sz="4" w:space="0"/>
            </w:tcBorders>
          </w:tcPr>
          <w:p w14:paraId="27566D81">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品牌/型号/规格</w:t>
            </w:r>
          </w:p>
        </w:tc>
        <w:tc>
          <w:tcPr>
            <w:tcW w:w="1014" w:type="dxa"/>
            <w:tcBorders>
              <w:top w:val="single" w:color="000000" w:sz="4" w:space="0"/>
              <w:left w:val="nil"/>
              <w:bottom w:val="single" w:color="000000" w:sz="4" w:space="0"/>
              <w:right w:val="single" w:color="000000" w:sz="4" w:space="0"/>
            </w:tcBorders>
          </w:tcPr>
          <w:p w14:paraId="479C7B78">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配置要求</w:t>
            </w:r>
          </w:p>
        </w:tc>
        <w:tc>
          <w:tcPr>
            <w:tcW w:w="756" w:type="dxa"/>
            <w:tcBorders>
              <w:top w:val="single" w:color="000000" w:sz="4" w:space="0"/>
              <w:left w:val="nil"/>
              <w:bottom w:val="single" w:color="000000" w:sz="4" w:space="0"/>
              <w:right w:val="single" w:color="000000" w:sz="4" w:space="0"/>
            </w:tcBorders>
          </w:tcPr>
          <w:p w14:paraId="0BCE1F38">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产地</w:t>
            </w:r>
          </w:p>
        </w:tc>
        <w:tc>
          <w:tcPr>
            <w:tcW w:w="635" w:type="dxa"/>
            <w:tcBorders>
              <w:top w:val="single" w:color="000000" w:sz="4" w:space="0"/>
              <w:left w:val="nil"/>
              <w:bottom w:val="single" w:color="000000" w:sz="4" w:space="0"/>
              <w:right w:val="single" w:color="000000" w:sz="4" w:space="0"/>
            </w:tcBorders>
          </w:tcPr>
          <w:p w14:paraId="6FE8F280">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单位</w:t>
            </w:r>
          </w:p>
        </w:tc>
        <w:tc>
          <w:tcPr>
            <w:tcW w:w="635" w:type="dxa"/>
            <w:tcBorders>
              <w:top w:val="single" w:color="000000" w:sz="4" w:space="0"/>
              <w:left w:val="nil"/>
              <w:bottom w:val="single" w:color="000000" w:sz="4" w:space="0"/>
              <w:right w:val="single" w:color="000000" w:sz="4" w:space="0"/>
            </w:tcBorders>
          </w:tcPr>
          <w:p w14:paraId="221027B9">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数量</w:t>
            </w:r>
          </w:p>
        </w:tc>
        <w:tc>
          <w:tcPr>
            <w:tcW w:w="711" w:type="dxa"/>
            <w:tcBorders>
              <w:top w:val="single" w:color="000000" w:sz="4" w:space="0"/>
              <w:left w:val="nil"/>
              <w:bottom w:val="single" w:color="000000" w:sz="4" w:space="0"/>
              <w:right w:val="single" w:color="000000" w:sz="4" w:space="0"/>
            </w:tcBorders>
          </w:tcPr>
          <w:p w14:paraId="38ED071A">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单价</w:t>
            </w:r>
          </w:p>
        </w:tc>
        <w:tc>
          <w:tcPr>
            <w:tcW w:w="635" w:type="dxa"/>
            <w:tcBorders>
              <w:top w:val="single" w:color="000000" w:sz="4" w:space="0"/>
              <w:left w:val="nil"/>
              <w:bottom w:val="single" w:color="000000" w:sz="4" w:space="0"/>
              <w:right w:val="single" w:color="000000" w:sz="4" w:space="0"/>
            </w:tcBorders>
          </w:tcPr>
          <w:p w14:paraId="7A387F0D">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金额</w:t>
            </w:r>
          </w:p>
        </w:tc>
        <w:tc>
          <w:tcPr>
            <w:tcW w:w="635" w:type="dxa"/>
            <w:tcBorders>
              <w:top w:val="single" w:color="000000" w:sz="4" w:space="0"/>
              <w:left w:val="nil"/>
              <w:bottom w:val="single" w:color="000000" w:sz="4" w:space="0"/>
              <w:right w:val="single" w:color="000000" w:sz="4" w:space="0"/>
            </w:tcBorders>
          </w:tcPr>
          <w:p w14:paraId="2D522AB2">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备注</w:t>
            </w:r>
          </w:p>
        </w:tc>
      </w:tr>
      <w:tr w14:paraId="400EF0F3">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605" w:type="dxa"/>
            <w:tcBorders>
              <w:top w:val="nil"/>
              <w:left w:val="single" w:color="000000" w:sz="4" w:space="0"/>
              <w:bottom w:val="single" w:color="000000" w:sz="4" w:space="0"/>
              <w:right w:val="single" w:color="000000" w:sz="4" w:space="0"/>
            </w:tcBorders>
          </w:tcPr>
          <w:p w14:paraId="2AE90ACC">
            <w:pPr>
              <w:widowControl/>
              <w:ind w:firstLine="480" w:firstLineChars="200"/>
              <w:jc w:val="left"/>
              <w:rPr>
                <w:rFonts w:hint="eastAsia" w:cs="宋体" w:asciiTheme="minorEastAsia" w:hAnsiTheme="minorEastAsia"/>
                <w:color w:val="000000"/>
                <w:kern w:val="0"/>
                <w:sz w:val="24"/>
                <w:szCs w:val="24"/>
              </w:rPr>
            </w:pPr>
          </w:p>
        </w:tc>
        <w:tc>
          <w:tcPr>
            <w:tcW w:w="1044" w:type="dxa"/>
            <w:tcBorders>
              <w:top w:val="nil"/>
              <w:left w:val="nil"/>
              <w:bottom w:val="single" w:color="000000" w:sz="4" w:space="0"/>
              <w:right w:val="single" w:color="000000" w:sz="4" w:space="0"/>
            </w:tcBorders>
          </w:tcPr>
          <w:p w14:paraId="5824F1DD">
            <w:pPr>
              <w:widowControl/>
              <w:ind w:firstLine="480" w:firstLineChars="200"/>
              <w:jc w:val="left"/>
              <w:rPr>
                <w:rFonts w:hint="eastAsia" w:cs="宋体" w:asciiTheme="minorEastAsia" w:hAnsiTheme="minorEastAsia"/>
                <w:color w:val="000000"/>
                <w:kern w:val="0"/>
                <w:sz w:val="24"/>
                <w:szCs w:val="24"/>
              </w:rPr>
            </w:pPr>
          </w:p>
        </w:tc>
        <w:tc>
          <w:tcPr>
            <w:tcW w:w="1634" w:type="dxa"/>
            <w:tcBorders>
              <w:top w:val="nil"/>
              <w:left w:val="nil"/>
              <w:bottom w:val="single" w:color="000000" w:sz="4" w:space="0"/>
              <w:right w:val="single" w:color="000000" w:sz="4" w:space="0"/>
            </w:tcBorders>
          </w:tcPr>
          <w:p w14:paraId="47F734CF">
            <w:pPr>
              <w:widowControl/>
              <w:ind w:firstLine="480" w:firstLineChars="200"/>
              <w:jc w:val="left"/>
              <w:rPr>
                <w:rFonts w:hint="eastAsia" w:cs="宋体" w:asciiTheme="minorEastAsia" w:hAnsiTheme="minorEastAsia"/>
                <w:color w:val="000000"/>
                <w:kern w:val="0"/>
                <w:sz w:val="24"/>
                <w:szCs w:val="24"/>
              </w:rPr>
            </w:pPr>
          </w:p>
        </w:tc>
        <w:tc>
          <w:tcPr>
            <w:tcW w:w="1014" w:type="dxa"/>
            <w:tcBorders>
              <w:top w:val="nil"/>
              <w:left w:val="nil"/>
              <w:bottom w:val="single" w:color="000000" w:sz="4" w:space="0"/>
              <w:right w:val="single" w:color="000000" w:sz="4" w:space="0"/>
            </w:tcBorders>
          </w:tcPr>
          <w:p w14:paraId="2625AA85">
            <w:pPr>
              <w:widowControl/>
              <w:ind w:firstLine="480" w:firstLineChars="200"/>
              <w:jc w:val="left"/>
              <w:rPr>
                <w:rFonts w:hint="eastAsia" w:cs="宋体" w:asciiTheme="minorEastAsia" w:hAnsiTheme="minorEastAsia"/>
                <w:color w:val="000000"/>
                <w:kern w:val="0"/>
                <w:sz w:val="24"/>
                <w:szCs w:val="24"/>
              </w:rPr>
            </w:pPr>
          </w:p>
        </w:tc>
        <w:tc>
          <w:tcPr>
            <w:tcW w:w="756" w:type="dxa"/>
            <w:tcBorders>
              <w:top w:val="nil"/>
              <w:left w:val="nil"/>
              <w:bottom w:val="single" w:color="000000" w:sz="4" w:space="0"/>
              <w:right w:val="single" w:color="000000" w:sz="4" w:space="0"/>
            </w:tcBorders>
          </w:tcPr>
          <w:p w14:paraId="77FB8583">
            <w:pPr>
              <w:widowControl/>
              <w:ind w:firstLine="480" w:firstLineChars="200"/>
              <w:jc w:val="left"/>
              <w:rPr>
                <w:rFonts w:hint="eastAsia" w:cs="宋体" w:asciiTheme="minorEastAsia" w:hAnsiTheme="minorEastAsia"/>
                <w:color w:val="000000"/>
                <w:kern w:val="0"/>
                <w:sz w:val="24"/>
                <w:szCs w:val="24"/>
              </w:rPr>
            </w:pPr>
          </w:p>
        </w:tc>
        <w:tc>
          <w:tcPr>
            <w:tcW w:w="635" w:type="dxa"/>
            <w:tcBorders>
              <w:top w:val="nil"/>
              <w:left w:val="nil"/>
              <w:bottom w:val="single" w:color="000000" w:sz="4" w:space="0"/>
              <w:right w:val="single" w:color="000000" w:sz="4" w:space="0"/>
            </w:tcBorders>
          </w:tcPr>
          <w:p w14:paraId="2358C966">
            <w:pPr>
              <w:widowControl/>
              <w:ind w:firstLine="480" w:firstLineChars="200"/>
              <w:jc w:val="left"/>
              <w:rPr>
                <w:rFonts w:hint="eastAsia" w:cs="宋体" w:asciiTheme="minorEastAsia" w:hAnsiTheme="minorEastAsia"/>
                <w:color w:val="000000"/>
                <w:kern w:val="0"/>
                <w:sz w:val="24"/>
                <w:szCs w:val="24"/>
              </w:rPr>
            </w:pPr>
          </w:p>
        </w:tc>
        <w:tc>
          <w:tcPr>
            <w:tcW w:w="635" w:type="dxa"/>
            <w:tcBorders>
              <w:top w:val="nil"/>
              <w:left w:val="nil"/>
              <w:bottom w:val="single" w:color="000000" w:sz="4" w:space="0"/>
              <w:right w:val="single" w:color="000000" w:sz="4" w:space="0"/>
            </w:tcBorders>
          </w:tcPr>
          <w:p w14:paraId="60374B62">
            <w:pPr>
              <w:widowControl/>
              <w:ind w:firstLine="480" w:firstLineChars="200"/>
              <w:jc w:val="left"/>
              <w:rPr>
                <w:rFonts w:hint="eastAsia" w:cs="宋体" w:asciiTheme="minorEastAsia" w:hAnsiTheme="minorEastAsia"/>
                <w:color w:val="000000"/>
                <w:kern w:val="0"/>
                <w:sz w:val="24"/>
                <w:szCs w:val="24"/>
              </w:rPr>
            </w:pPr>
          </w:p>
        </w:tc>
        <w:tc>
          <w:tcPr>
            <w:tcW w:w="711" w:type="dxa"/>
            <w:tcBorders>
              <w:top w:val="nil"/>
              <w:left w:val="nil"/>
              <w:bottom w:val="single" w:color="000000" w:sz="4" w:space="0"/>
              <w:right w:val="single" w:color="000000" w:sz="4" w:space="0"/>
            </w:tcBorders>
          </w:tcPr>
          <w:p w14:paraId="1EB02428">
            <w:pPr>
              <w:widowControl/>
              <w:ind w:firstLine="480" w:firstLineChars="200"/>
              <w:jc w:val="left"/>
              <w:rPr>
                <w:rFonts w:hint="eastAsia" w:cs="宋体" w:asciiTheme="minorEastAsia" w:hAnsiTheme="minorEastAsia"/>
                <w:color w:val="000000"/>
                <w:kern w:val="0"/>
                <w:sz w:val="24"/>
                <w:szCs w:val="24"/>
              </w:rPr>
            </w:pPr>
          </w:p>
        </w:tc>
        <w:tc>
          <w:tcPr>
            <w:tcW w:w="635" w:type="dxa"/>
            <w:tcBorders>
              <w:top w:val="nil"/>
              <w:left w:val="nil"/>
              <w:bottom w:val="single" w:color="000000" w:sz="4" w:space="0"/>
              <w:right w:val="single" w:color="000000" w:sz="4" w:space="0"/>
            </w:tcBorders>
          </w:tcPr>
          <w:p w14:paraId="35AE9DD1">
            <w:pPr>
              <w:widowControl/>
              <w:ind w:firstLine="480" w:firstLineChars="200"/>
              <w:jc w:val="left"/>
              <w:rPr>
                <w:rFonts w:hint="eastAsia" w:cs="宋体" w:asciiTheme="minorEastAsia" w:hAnsiTheme="minorEastAsia"/>
                <w:color w:val="000000"/>
                <w:kern w:val="0"/>
                <w:sz w:val="24"/>
                <w:szCs w:val="24"/>
              </w:rPr>
            </w:pPr>
          </w:p>
        </w:tc>
        <w:tc>
          <w:tcPr>
            <w:tcW w:w="635" w:type="dxa"/>
            <w:tcBorders>
              <w:top w:val="nil"/>
              <w:left w:val="nil"/>
              <w:bottom w:val="single" w:color="000000" w:sz="4" w:space="0"/>
              <w:right w:val="single" w:color="000000" w:sz="4" w:space="0"/>
            </w:tcBorders>
          </w:tcPr>
          <w:p w14:paraId="71F9931F">
            <w:pPr>
              <w:widowControl/>
              <w:ind w:firstLine="480" w:firstLineChars="200"/>
              <w:jc w:val="left"/>
              <w:rPr>
                <w:rFonts w:hint="eastAsia" w:cs="宋体" w:asciiTheme="minorEastAsia" w:hAnsiTheme="minorEastAsia"/>
                <w:color w:val="000000"/>
                <w:kern w:val="0"/>
                <w:sz w:val="24"/>
                <w:szCs w:val="24"/>
              </w:rPr>
            </w:pPr>
          </w:p>
        </w:tc>
      </w:tr>
      <w:tr w14:paraId="4F3379E0">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605" w:type="dxa"/>
            <w:tcBorders>
              <w:top w:val="nil"/>
              <w:left w:val="single" w:color="000000" w:sz="4" w:space="0"/>
              <w:bottom w:val="single" w:color="000000" w:sz="4" w:space="0"/>
              <w:right w:val="single" w:color="000000" w:sz="4" w:space="0"/>
            </w:tcBorders>
          </w:tcPr>
          <w:p w14:paraId="46AE2C51">
            <w:pPr>
              <w:widowControl/>
              <w:ind w:firstLine="480" w:firstLineChars="200"/>
              <w:jc w:val="left"/>
              <w:rPr>
                <w:rFonts w:hint="eastAsia" w:cs="宋体" w:asciiTheme="minorEastAsia" w:hAnsiTheme="minorEastAsia"/>
                <w:color w:val="000000"/>
                <w:kern w:val="0"/>
                <w:sz w:val="24"/>
                <w:szCs w:val="24"/>
              </w:rPr>
            </w:pPr>
          </w:p>
        </w:tc>
        <w:tc>
          <w:tcPr>
            <w:tcW w:w="1044" w:type="dxa"/>
            <w:tcBorders>
              <w:top w:val="nil"/>
              <w:left w:val="nil"/>
              <w:bottom w:val="single" w:color="000000" w:sz="4" w:space="0"/>
              <w:right w:val="single" w:color="000000" w:sz="4" w:space="0"/>
            </w:tcBorders>
          </w:tcPr>
          <w:p w14:paraId="0F05C254">
            <w:pPr>
              <w:widowControl/>
              <w:ind w:firstLine="480" w:firstLineChars="200"/>
              <w:jc w:val="left"/>
              <w:rPr>
                <w:rFonts w:hint="eastAsia" w:cs="宋体" w:asciiTheme="minorEastAsia" w:hAnsiTheme="minorEastAsia"/>
                <w:color w:val="000000"/>
                <w:kern w:val="0"/>
                <w:sz w:val="24"/>
                <w:szCs w:val="24"/>
              </w:rPr>
            </w:pPr>
          </w:p>
        </w:tc>
        <w:tc>
          <w:tcPr>
            <w:tcW w:w="1634" w:type="dxa"/>
            <w:tcBorders>
              <w:top w:val="nil"/>
              <w:left w:val="nil"/>
              <w:bottom w:val="single" w:color="000000" w:sz="4" w:space="0"/>
              <w:right w:val="single" w:color="000000" w:sz="4" w:space="0"/>
            </w:tcBorders>
          </w:tcPr>
          <w:p w14:paraId="44ACC5F0">
            <w:pPr>
              <w:widowControl/>
              <w:ind w:firstLine="480" w:firstLineChars="200"/>
              <w:jc w:val="left"/>
              <w:rPr>
                <w:rFonts w:hint="eastAsia" w:cs="宋体" w:asciiTheme="minorEastAsia" w:hAnsiTheme="minorEastAsia"/>
                <w:color w:val="000000"/>
                <w:kern w:val="0"/>
                <w:sz w:val="24"/>
                <w:szCs w:val="24"/>
              </w:rPr>
            </w:pPr>
          </w:p>
        </w:tc>
        <w:tc>
          <w:tcPr>
            <w:tcW w:w="1014" w:type="dxa"/>
            <w:tcBorders>
              <w:top w:val="nil"/>
              <w:left w:val="nil"/>
              <w:bottom w:val="single" w:color="000000" w:sz="4" w:space="0"/>
              <w:right w:val="single" w:color="000000" w:sz="4" w:space="0"/>
            </w:tcBorders>
          </w:tcPr>
          <w:p w14:paraId="2A9D4356">
            <w:pPr>
              <w:widowControl/>
              <w:ind w:firstLine="480" w:firstLineChars="200"/>
              <w:jc w:val="left"/>
              <w:rPr>
                <w:rFonts w:hint="eastAsia" w:cs="宋体" w:asciiTheme="minorEastAsia" w:hAnsiTheme="minorEastAsia"/>
                <w:color w:val="000000"/>
                <w:kern w:val="0"/>
                <w:sz w:val="24"/>
                <w:szCs w:val="24"/>
              </w:rPr>
            </w:pPr>
          </w:p>
        </w:tc>
        <w:tc>
          <w:tcPr>
            <w:tcW w:w="756" w:type="dxa"/>
            <w:tcBorders>
              <w:top w:val="nil"/>
              <w:left w:val="nil"/>
              <w:bottom w:val="single" w:color="000000" w:sz="4" w:space="0"/>
              <w:right w:val="single" w:color="000000" w:sz="4" w:space="0"/>
            </w:tcBorders>
          </w:tcPr>
          <w:p w14:paraId="68336AEA">
            <w:pPr>
              <w:widowControl/>
              <w:ind w:firstLine="480" w:firstLineChars="200"/>
              <w:jc w:val="left"/>
              <w:rPr>
                <w:rFonts w:hint="eastAsia" w:cs="宋体" w:asciiTheme="minorEastAsia" w:hAnsiTheme="minorEastAsia"/>
                <w:color w:val="000000"/>
                <w:kern w:val="0"/>
                <w:sz w:val="24"/>
                <w:szCs w:val="24"/>
              </w:rPr>
            </w:pPr>
          </w:p>
        </w:tc>
        <w:tc>
          <w:tcPr>
            <w:tcW w:w="635" w:type="dxa"/>
            <w:tcBorders>
              <w:top w:val="nil"/>
              <w:left w:val="nil"/>
              <w:bottom w:val="single" w:color="000000" w:sz="4" w:space="0"/>
              <w:right w:val="single" w:color="000000" w:sz="4" w:space="0"/>
            </w:tcBorders>
          </w:tcPr>
          <w:p w14:paraId="40B90351">
            <w:pPr>
              <w:widowControl/>
              <w:ind w:firstLine="480" w:firstLineChars="200"/>
              <w:jc w:val="left"/>
              <w:rPr>
                <w:rFonts w:hint="eastAsia" w:cs="宋体" w:asciiTheme="minorEastAsia" w:hAnsiTheme="minorEastAsia"/>
                <w:color w:val="000000"/>
                <w:kern w:val="0"/>
                <w:sz w:val="24"/>
                <w:szCs w:val="24"/>
              </w:rPr>
            </w:pPr>
          </w:p>
        </w:tc>
        <w:tc>
          <w:tcPr>
            <w:tcW w:w="635" w:type="dxa"/>
            <w:tcBorders>
              <w:top w:val="nil"/>
              <w:left w:val="nil"/>
              <w:bottom w:val="single" w:color="000000" w:sz="4" w:space="0"/>
              <w:right w:val="single" w:color="000000" w:sz="4" w:space="0"/>
            </w:tcBorders>
          </w:tcPr>
          <w:p w14:paraId="18659D69">
            <w:pPr>
              <w:widowControl/>
              <w:ind w:firstLine="480" w:firstLineChars="200"/>
              <w:jc w:val="left"/>
              <w:rPr>
                <w:rFonts w:hint="eastAsia" w:cs="宋体" w:asciiTheme="minorEastAsia" w:hAnsiTheme="minorEastAsia"/>
                <w:color w:val="000000"/>
                <w:kern w:val="0"/>
                <w:sz w:val="24"/>
                <w:szCs w:val="24"/>
              </w:rPr>
            </w:pPr>
          </w:p>
        </w:tc>
        <w:tc>
          <w:tcPr>
            <w:tcW w:w="711" w:type="dxa"/>
            <w:tcBorders>
              <w:top w:val="nil"/>
              <w:left w:val="nil"/>
              <w:bottom w:val="single" w:color="000000" w:sz="4" w:space="0"/>
              <w:right w:val="single" w:color="000000" w:sz="4" w:space="0"/>
            </w:tcBorders>
          </w:tcPr>
          <w:p w14:paraId="554CBE67">
            <w:pPr>
              <w:widowControl/>
              <w:ind w:firstLine="480" w:firstLineChars="200"/>
              <w:jc w:val="left"/>
              <w:rPr>
                <w:rFonts w:hint="eastAsia" w:cs="宋体" w:asciiTheme="minorEastAsia" w:hAnsiTheme="minorEastAsia"/>
                <w:color w:val="000000"/>
                <w:kern w:val="0"/>
                <w:sz w:val="24"/>
                <w:szCs w:val="24"/>
              </w:rPr>
            </w:pPr>
          </w:p>
        </w:tc>
        <w:tc>
          <w:tcPr>
            <w:tcW w:w="635" w:type="dxa"/>
            <w:tcBorders>
              <w:top w:val="nil"/>
              <w:left w:val="nil"/>
              <w:bottom w:val="single" w:color="000000" w:sz="4" w:space="0"/>
              <w:right w:val="single" w:color="000000" w:sz="4" w:space="0"/>
            </w:tcBorders>
          </w:tcPr>
          <w:p w14:paraId="275D425B">
            <w:pPr>
              <w:widowControl/>
              <w:ind w:firstLine="480" w:firstLineChars="200"/>
              <w:jc w:val="left"/>
              <w:rPr>
                <w:rFonts w:hint="eastAsia" w:cs="宋体" w:asciiTheme="minorEastAsia" w:hAnsiTheme="minorEastAsia"/>
                <w:color w:val="000000"/>
                <w:kern w:val="0"/>
                <w:sz w:val="24"/>
                <w:szCs w:val="24"/>
              </w:rPr>
            </w:pPr>
          </w:p>
        </w:tc>
        <w:tc>
          <w:tcPr>
            <w:tcW w:w="635" w:type="dxa"/>
            <w:tcBorders>
              <w:top w:val="nil"/>
              <w:left w:val="nil"/>
              <w:bottom w:val="single" w:color="000000" w:sz="4" w:space="0"/>
              <w:right w:val="single" w:color="000000" w:sz="4" w:space="0"/>
            </w:tcBorders>
          </w:tcPr>
          <w:p w14:paraId="3CE0DF6B">
            <w:pPr>
              <w:widowControl/>
              <w:ind w:firstLine="480" w:firstLineChars="200"/>
              <w:jc w:val="left"/>
              <w:rPr>
                <w:rFonts w:hint="eastAsia" w:cs="宋体" w:asciiTheme="minorEastAsia" w:hAnsiTheme="minorEastAsia"/>
                <w:color w:val="000000"/>
                <w:kern w:val="0"/>
                <w:sz w:val="24"/>
                <w:szCs w:val="24"/>
              </w:rPr>
            </w:pPr>
          </w:p>
        </w:tc>
      </w:tr>
      <w:tr w14:paraId="72C89A7B">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605" w:type="dxa"/>
            <w:tcBorders>
              <w:top w:val="nil"/>
              <w:left w:val="single" w:color="000000" w:sz="4" w:space="0"/>
              <w:bottom w:val="single" w:color="000000" w:sz="4" w:space="0"/>
              <w:right w:val="single" w:color="000000" w:sz="4" w:space="0"/>
            </w:tcBorders>
          </w:tcPr>
          <w:p w14:paraId="6AE07A30">
            <w:pPr>
              <w:widowControl/>
              <w:ind w:firstLine="480" w:firstLineChars="200"/>
              <w:jc w:val="left"/>
              <w:rPr>
                <w:rFonts w:hint="eastAsia" w:cs="宋体" w:asciiTheme="minorEastAsia" w:hAnsiTheme="minorEastAsia"/>
                <w:color w:val="000000"/>
                <w:kern w:val="0"/>
                <w:sz w:val="24"/>
                <w:szCs w:val="24"/>
              </w:rPr>
            </w:pPr>
          </w:p>
        </w:tc>
        <w:tc>
          <w:tcPr>
            <w:tcW w:w="1044" w:type="dxa"/>
            <w:tcBorders>
              <w:top w:val="nil"/>
              <w:left w:val="nil"/>
              <w:bottom w:val="single" w:color="000000" w:sz="4" w:space="0"/>
              <w:right w:val="single" w:color="000000" w:sz="4" w:space="0"/>
            </w:tcBorders>
          </w:tcPr>
          <w:p w14:paraId="444104B0">
            <w:pPr>
              <w:widowControl/>
              <w:ind w:firstLine="480" w:firstLineChars="200"/>
              <w:jc w:val="left"/>
              <w:rPr>
                <w:rFonts w:hint="eastAsia" w:cs="宋体" w:asciiTheme="minorEastAsia" w:hAnsiTheme="minorEastAsia"/>
                <w:color w:val="000000"/>
                <w:kern w:val="0"/>
                <w:sz w:val="24"/>
                <w:szCs w:val="24"/>
              </w:rPr>
            </w:pPr>
          </w:p>
        </w:tc>
        <w:tc>
          <w:tcPr>
            <w:tcW w:w="1634" w:type="dxa"/>
            <w:tcBorders>
              <w:top w:val="nil"/>
              <w:left w:val="nil"/>
              <w:bottom w:val="single" w:color="000000" w:sz="4" w:space="0"/>
              <w:right w:val="single" w:color="000000" w:sz="4" w:space="0"/>
            </w:tcBorders>
          </w:tcPr>
          <w:p w14:paraId="0E1E5B27">
            <w:pPr>
              <w:widowControl/>
              <w:ind w:firstLine="480" w:firstLineChars="200"/>
              <w:jc w:val="left"/>
              <w:rPr>
                <w:rFonts w:hint="eastAsia" w:cs="宋体" w:asciiTheme="minorEastAsia" w:hAnsiTheme="minorEastAsia"/>
                <w:color w:val="000000"/>
                <w:kern w:val="0"/>
                <w:sz w:val="24"/>
                <w:szCs w:val="24"/>
              </w:rPr>
            </w:pPr>
          </w:p>
        </w:tc>
        <w:tc>
          <w:tcPr>
            <w:tcW w:w="1014" w:type="dxa"/>
            <w:tcBorders>
              <w:top w:val="nil"/>
              <w:left w:val="nil"/>
              <w:bottom w:val="single" w:color="000000" w:sz="4" w:space="0"/>
              <w:right w:val="single" w:color="000000" w:sz="4" w:space="0"/>
            </w:tcBorders>
          </w:tcPr>
          <w:p w14:paraId="076F2113">
            <w:pPr>
              <w:widowControl/>
              <w:ind w:firstLine="480" w:firstLineChars="200"/>
              <w:jc w:val="left"/>
              <w:rPr>
                <w:rFonts w:hint="eastAsia" w:cs="宋体" w:asciiTheme="minorEastAsia" w:hAnsiTheme="minorEastAsia"/>
                <w:color w:val="000000"/>
                <w:kern w:val="0"/>
                <w:sz w:val="24"/>
                <w:szCs w:val="24"/>
              </w:rPr>
            </w:pPr>
          </w:p>
        </w:tc>
        <w:tc>
          <w:tcPr>
            <w:tcW w:w="756" w:type="dxa"/>
            <w:tcBorders>
              <w:top w:val="nil"/>
              <w:left w:val="nil"/>
              <w:bottom w:val="single" w:color="000000" w:sz="4" w:space="0"/>
              <w:right w:val="single" w:color="000000" w:sz="4" w:space="0"/>
            </w:tcBorders>
          </w:tcPr>
          <w:p w14:paraId="207CC5B8">
            <w:pPr>
              <w:widowControl/>
              <w:ind w:firstLine="480" w:firstLineChars="200"/>
              <w:jc w:val="left"/>
              <w:rPr>
                <w:rFonts w:hint="eastAsia" w:cs="宋体" w:asciiTheme="minorEastAsia" w:hAnsiTheme="minorEastAsia"/>
                <w:color w:val="000000"/>
                <w:kern w:val="0"/>
                <w:sz w:val="24"/>
                <w:szCs w:val="24"/>
              </w:rPr>
            </w:pPr>
          </w:p>
        </w:tc>
        <w:tc>
          <w:tcPr>
            <w:tcW w:w="635" w:type="dxa"/>
            <w:tcBorders>
              <w:top w:val="nil"/>
              <w:left w:val="nil"/>
              <w:bottom w:val="single" w:color="000000" w:sz="4" w:space="0"/>
              <w:right w:val="single" w:color="000000" w:sz="4" w:space="0"/>
            </w:tcBorders>
          </w:tcPr>
          <w:p w14:paraId="5B7316D0">
            <w:pPr>
              <w:widowControl/>
              <w:ind w:firstLine="480" w:firstLineChars="200"/>
              <w:jc w:val="left"/>
              <w:rPr>
                <w:rFonts w:hint="eastAsia" w:cs="宋体" w:asciiTheme="minorEastAsia" w:hAnsiTheme="minorEastAsia"/>
                <w:color w:val="000000"/>
                <w:kern w:val="0"/>
                <w:sz w:val="24"/>
                <w:szCs w:val="24"/>
              </w:rPr>
            </w:pPr>
          </w:p>
        </w:tc>
        <w:tc>
          <w:tcPr>
            <w:tcW w:w="635" w:type="dxa"/>
            <w:tcBorders>
              <w:top w:val="nil"/>
              <w:left w:val="nil"/>
              <w:bottom w:val="single" w:color="000000" w:sz="4" w:space="0"/>
              <w:right w:val="single" w:color="000000" w:sz="4" w:space="0"/>
            </w:tcBorders>
          </w:tcPr>
          <w:p w14:paraId="06401FC0">
            <w:pPr>
              <w:widowControl/>
              <w:ind w:firstLine="480" w:firstLineChars="200"/>
              <w:jc w:val="left"/>
              <w:rPr>
                <w:rFonts w:hint="eastAsia" w:cs="宋体" w:asciiTheme="minorEastAsia" w:hAnsiTheme="minorEastAsia"/>
                <w:color w:val="000000"/>
                <w:kern w:val="0"/>
                <w:sz w:val="24"/>
                <w:szCs w:val="24"/>
              </w:rPr>
            </w:pPr>
          </w:p>
        </w:tc>
        <w:tc>
          <w:tcPr>
            <w:tcW w:w="711" w:type="dxa"/>
            <w:tcBorders>
              <w:top w:val="nil"/>
              <w:left w:val="nil"/>
              <w:bottom w:val="single" w:color="000000" w:sz="4" w:space="0"/>
              <w:right w:val="single" w:color="000000" w:sz="4" w:space="0"/>
            </w:tcBorders>
          </w:tcPr>
          <w:p w14:paraId="2DECBD23">
            <w:pPr>
              <w:widowControl/>
              <w:ind w:firstLine="480" w:firstLineChars="200"/>
              <w:jc w:val="left"/>
              <w:rPr>
                <w:rFonts w:hint="eastAsia" w:cs="宋体" w:asciiTheme="minorEastAsia" w:hAnsiTheme="minorEastAsia"/>
                <w:color w:val="000000"/>
                <w:kern w:val="0"/>
                <w:sz w:val="24"/>
                <w:szCs w:val="24"/>
              </w:rPr>
            </w:pPr>
          </w:p>
        </w:tc>
        <w:tc>
          <w:tcPr>
            <w:tcW w:w="635" w:type="dxa"/>
            <w:tcBorders>
              <w:top w:val="nil"/>
              <w:left w:val="nil"/>
              <w:bottom w:val="single" w:color="000000" w:sz="4" w:space="0"/>
              <w:right w:val="single" w:color="000000" w:sz="4" w:space="0"/>
            </w:tcBorders>
          </w:tcPr>
          <w:p w14:paraId="704BE6A0">
            <w:pPr>
              <w:widowControl/>
              <w:ind w:firstLine="480" w:firstLineChars="200"/>
              <w:jc w:val="left"/>
              <w:rPr>
                <w:rFonts w:hint="eastAsia" w:cs="宋体" w:asciiTheme="minorEastAsia" w:hAnsiTheme="minorEastAsia"/>
                <w:color w:val="000000"/>
                <w:kern w:val="0"/>
                <w:sz w:val="24"/>
                <w:szCs w:val="24"/>
              </w:rPr>
            </w:pPr>
          </w:p>
        </w:tc>
        <w:tc>
          <w:tcPr>
            <w:tcW w:w="635" w:type="dxa"/>
            <w:tcBorders>
              <w:top w:val="nil"/>
              <w:left w:val="nil"/>
              <w:bottom w:val="single" w:color="000000" w:sz="4" w:space="0"/>
              <w:right w:val="single" w:color="000000" w:sz="4" w:space="0"/>
            </w:tcBorders>
          </w:tcPr>
          <w:p w14:paraId="476060DC">
            <w:pPr>
              <w:widowControl/>
              <w:ind w:firstLine="480" w:firstLineChars="200"/>
              <w:jc w:val="left"/>
              <w:rPr>
                <w:rFonts w:hint="eastAsia" w:cs="宋体" w:asciiTheme="minorEastAsia" w:hAnsiTheme="minorEastAsia"/>
                <w:color w:val="000000"/>
                <w:kern w:val="0"/>
                <w:sz w:val="24"/>
                <w:szCs w:val="24"/>
              </w:rPr>
            </w:pPr>
          </w:p>
        </w:tc>
      </w:tr>
      <w:tr w14:paraId="15EC6E25">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605" w:type="dxa"/>
            <w:tcBorders>
              <w:top w:val="nil"/>
              <w:left w:val="single" w:color="000000" w:sz="4" w:space="0"/>
              <w:bottom w:val="single" w:color="000000" w:sz="4" w:space="0"/>
              <w:right w:val="single" w:color="000000" w:sz="4" w:space="0"/>
            </w:tcBorders>
          </w:tcPr>
          <w:p w14:paraId="299D4ED4">
            <w:pPr>
              <w:widowControl/>
              <w:ind w:firstLine="480" w:firstLineChars="200"/>
              <w:jc w:val="left"/>
              <w:rPr>
                <w:rFonts w:hint="eastAsia" w:cs="宋体" w:asciiTheme="minorEastAsia" w:hAnsiTheme="minorEastAsia"/>
                <w:color w:val="000000"/>
                <w:kern w:val="0"/>
                <w:sz w:val="24"/>
                <w:szCs w:val="24"/>
              </w:rPr>
            </w:pPr>
          </w:p>
        </w:tc>
        <w:tc>
          <w:tcPr>
            <w:tcW w:w="1044" w:type="dxa"/>
            <w:tcBorders>
              <w:top w:val="nil"/>
              <w:left w:val="nil"/>
              <w:bottom w:val="single" w:color="000000" w:sz="4" w:space="0"/>
              <w:right w:val="single" w:color="000000" w:sz="4" w:space="0"/>
            </w:tcBorders>
          </w:tcPr>
          <w:p w14:paraId="62C99EF4">
            <w:pPr>
              <w:widowControl/>
              <w:ind w:firstLine="480" w:firstLineChars="200"/>
              <w:jc w:val="left"/>
              <w:rPr>
                <w:rFonts w:hint="eastAsia" w:cs="宋体" w:asciiTheme="minorEastAsia" w:hAnsiTheme="minorEastAsia"/>
                <w:color w:val="000000"/>
                <w:kern w:val="0"/>
                <w:sz w:val="24"/>
                <w:szCs w:val="24"/>
              </w:rPr>
            </w:pPr>
          </w:p>
        </w:tc>
        <w:tc>
          <w:tcPr>
            <w:tcW w:w="1634" w:type="dxa"/>
            <w:tcBorders>
              <w:top w:val="nil"/>
              <w:left w:val="nil"/>
              <w:bottom w:val="single" w:color="000000" w:sz="4" w:space="0"/>
              <w:right w:val="single" w:color="000000" w:sz="4" w:space="0"/>
            </w:tcBorders>
          </w:tcPr>
          <w:p w14:paraId="4DA06DD0">
            <w:pPr>
              <w:widowControl/>
              <w:ind w:firstLine="480" w:firstLineChars="200"/>
              <w:jc w:val="left"/>
              <w:rPr>
                <w:rFonts w:hint="eastAsia" w:cs="宋体" w:asciiTheme="minorEastAsia" w:hAnsiTheme="minorEastAsia"/>
                <w:color w:val="000000"/>
                <w:kern w:val="0"/>
                <w:sz w:val="24"/>
                <w:szCs w:val="24"/>
              </w:rPr>
            </w:pPr>
          </w:p>
        </w:tc>
        <w:tc>
          <w:tcPr>
            <w:tcW w:w="1014" w:type="dxa"/>
            <w:tcBorders>
              <w:top w:val="nil"/>
              <w:left w:val="nil"/>
              <w:bottom w:val="single" w:color="000000" w:sz="4" w:space="0"/>
              <w:right w:val="single" w:color="000000" w:sz="4" w:space="0"/>
            </w:tcBorders>
          </w:tcPr>
          <w:p w14:paraId="3EABFD7D">
            <w:pPr>
              <w:widowControl/>
              <w:ind w:firstLine="480" w:firstLineChars="200"/>
              <w:jc w:val="left"/>
              <w:rPr>
                <w:rFonts w:hint="eastAsia" w:cs="宋体" w:asciiTheme="minorEastAsia" w:hAnsiTheme="minorEastAsia"/>
                <w:color w:val="000000"/>
                <w:kern w:val="0"/>
                <w:sz w:val="24"/>
                <w:szCs w:val="24"/>
              </w:rPr>
            </w:pPr>
          </w:p>
        </w:tc>
        <w:tc>
          <w:tcPr>
            <w:tcW w:w="756" w:type="dxa"/>
            <w:tcBorders>
              <w:top w:val="nil"/>
              <w:left w:val="nil"/>
              <w:bottom w:val="single" w:color="000000" w:sz="4" w:space="0"/>
              <w:right w:val="single" w:color="000000" w:sz="4" w:space="0"/>
            </w:tcBorders>
          </w:tcPr>
          <w:p w14:paraId="69F599DA">
            <w:pPr>
              <w:widowControl/>
              <w:ind w:firstLine="480" w:firstLineChars="200"/>
              <w:jc w:val="left"/>
              <w:rPr>
                <w:rFonts w:hint="eastAsia" w:cs="宋体" w:asciiTheme="minorEastAsia" w:hAnsiTheme="minorEastAsia"/>
                <w:color w:val="000000"/>
                <w:kern w:val="0"/>
                <w:sz w:val="24"/>
                <w:szCs w:val="24"/>
              </w:rPr>
            </w:pPr>
          </w:p>
        </w:tc>
        <w:tc>
          <w:tcPr>
            <w:tcW w:w="635" w:type="dxa"/>
            <w:tcBorders>
              <w:top w:val="nil"/>
              <w:left w:val="nil"/>
              <w:bottom w:val="single" w:color="000000" w:sz="4" w:space="0"/>
              <w:right w:val="single" w:color="000000" w:sz="4" w:space="0"/>
            </w:tcBorders>
          </w:tcPr>
          <w:p w14:paraId="27436E96">
            <w:pPr>
              <w:widowControl/>
              <w:ind w:firstLine="480" w:firstLineChars="200"/>
              <w:jc w:val="left"/>
              <w:rPr>
                <w:rFonts w:hint="eastAsia" w:cs="宋体" w:asciiTheme="minorEastAsia" w:hAnsiTheme="minorEastAsia"/>
                <w:color w:val="000000"/>
                <w:kern w:val="0"/>
                <w:sz w:val="24"/>
                <w:szCs w:val="24"/>
              </w:rPr>
            </w:pPr>
          </w:p>
        </w:tc>
        <w:tc>
          <w:tcPr>
            <w:tcW w:w="635" w:type="dxa"/>
            <w:tcBorders>
              <w:top w:val="nil"/>
              <w:left w:val="nil"/>
              <w:bottom w:val="single" w:color="000000" w:sz="4" w:space="0"/>
              <w:right w:val="single" w:color="000000" w:sz="4" w:space="0"/>
            </w:tcBorders>
          </w:tcPr>
          <w:p w14:paraId="6202AFAF">
            <w:pPr>
              <w:widowControl/>
              <w:ind w:firstLine="480" w:firstLineChars="200"/>
              <w:jc w:val="left"/>
              <w:rPr>
                <w:rFonts w:hint="eastAsia" w:cs="宋体" w:asciiTheme="minorEastAsia" w:hAnsiTheme="minorEastAsia"/>
                <w:color w:val="000000"/>
                <w:kern w:val="0"/>
                <w:sz w:val="24"/>
                <w:szCs w:val="24"/>
              </w:rPr>
            </w:pPr>
          </w:p>
        </w:tc>
        <w:tc>
          <w:tcPr>
            <w:tcW w:w="711" w:type="dxa"/>
            <w:tcBorders>
              <w:top w:val="nil"/>
              <w:left w:val="nil"/>
              <w:bottom w:val="single" w:color="000000" w:sz="4" w:space="0"/>
              <w:right w:val="single" w:color="000000" w:sz="4" w:space="0"/>
            </w:tcBorders>
          </w:tcPr>
          <w:p w14:paraId="08C22569">
            <w:pPr>
              <w:widowControl/>
              <w:ind w:firstLine="480" w:firstLineChars="200"/>
              <w:jc w:val="left"/>
              <w:rPr>
                <w:rFonts w:hint="eastAsia" w:cs="宋体" w:asciiTheme="minorEastAsia" w:hAnsiTheme="minorEastAsia"/>
                <w:color w:val="000000"/>
                <w:kern w:val="0"/>
                <w:sz w:val="24"/>
                <w:szCs w:val="24"/>
              </w:rPr>
            </w:pPr>
          </w:p>
        </w:tc>
        <w:tc>
          <w:tcPr>
            <w:tcW w:w="635" w:type="dxa"/>
            <w:tcBorders>
              <w:top w:val="nil"/>
              <w:left w:val="nil"/>
              <w:bottom w:val="single" w:color="000000" w:sz="4" w:space="0"/>
              <w:right w:val="single" w:color="000000" w:sz="4" w:space="0"/>
            </w:tcBorders>
          </w:tcPr>
          <w:p w14:paraId="79714B35">
            <w:pPr>
              <w:widowControl/>
              <w:ind w:firstLine="480" w:firstLineChars="200"/>
              <w:jc w:val="left"/>
              <w:rPr>
                <w:rFonts w:hint="eastAsia" w:cs="宋体" w:asciiTheme="minorEastAsia" w:hAnsiTheme="minorEastAsia"/>
                <w:color w:val="000000"/>
                <w:kern w:val="0"/>
                <w:sz w:val="24"/>
                <w:szCs w:val="24"/>
              </w:rPr>
            </w:pPr>
          </w:p>
        </w:tc>
        <w:tc>
          <w:tcPr>
            <w:tcW w:w="635" w:type="dxa"/>
            <w:tcBorders>
              <w:top w:val="nil"/>
              <w:left w:val="nil"/>
              <w:bottom w:val="single" w:color="000000" w:sz="4" w:space="0"/>
              <w:right w:val="single" w:color="000000" w:sz="4" w:space="0"/>
            </w:tcBorders>
          </w:tcPr>
          <w:p w14:paraId="18F4E5C2">
            <w:pPr>
              <w:widowControl/>
              <w:ind w:firstLine="480" w:firstLineChars="200"/>
              <w:jc w:val="left"/>
              <w:rPr>
                <w:rFonts w:hint="eastAsia" w:cs="宋体" w:asciiTheme="minorEastAsia" w:hAnsiTheme="minorEastAsia"/>
                <w:color w:val="000000"/>
                <w:kern w:val="0"/>
                <w:sz w:val="24"/>
                <w:szCs w:val="24"/>
              </w:rPr>
            </w:pPr>
          </w:p>
        </w:tc>
      </w:tr>
      <w:tr w14:paraId="58D2F21D">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605" w:type="dxa"/>
            <w:tcBorders>
              <w:top w:val="nil"/>
              <w:left w:val="single" w:color="000000" w:sz="4" w:space="0"/>
              <w:bottom w:val="single" w:color="000000" w:sz="4" w:space="0"/>
              <w:right w:val="single" w:color="000000" w:sz="4" w:space="0"/>
            </w:tcBorders>
          </w:tcPr>
          <w:p w14:paraId="3A03C635">
            <w:pPr>
              <w:widowControl/>
              <w:ind w:firstLine="480" w:firstLineChars="200"/>
              <w:jc w:val="left"/>
              <w:rPr>
                <w:rFonts w:hint="eastAsia" w:cs="宋体" w:asciiTheme="minorEastAsia" w:hAnsiTheme="minorEastAsia"/>
                <w:color w:val="000000"/>
                <w:kern w:val="0"/>
                <w:sz w:val="24"/>
                <w:szCs w:val="24"/>
              </w:rPr>
            </w:pPr>
          </w:p>
        </w:tc>
        <w:tc>
          <w:tcPr>
            <w:tcW w:w="1044" w:type="dxa"/>
            <w:tcBorders>
              <w:top w:val="nil"/>
              <w:left w:val="nil"/>
              <w:bottom w:val="single" w:color="000000" w:sz="4" w:space="0"/>
              <w:right w:val="single" w:color="000000" w:sz="4" w:space="0"/>
            </w:tcBorders>
          </w:tcPr>
          <w:p w14:paraId="1169DFC5">
            <w:pPr>
              <w:widowControl/>
              <w:ind w:firstLine="480" w:firstLineChars="200"/>
              <w:jc w:val="left"/>
              <w:rPr>
                <w:rFonts w:hint="eastAsia" w:cs="宋体" w:asciiTheme="minorEastAsia" w:hAnsiTheme="minorEastAsia"/>
                <w:color w:val="000000"/>
                <w:kern w:val="0"/>
                <w:sz w:val="24"/>
                <w:szCs w:val="24"/>
              </w:rPr>
            </w:pPr>
          </w:p>
        </w:tc>
        <w:tc>
          <w:tcPr>
            <w:tcW w:w="1634" w:type="dxa"/>
            <w:tcBorders>
              <w:top w:val="nil"/>
              <w:left w:val="nil"/>
              <w:bottom w:val="single" w:color="000000" w:sz="4" w:space="0"/>
              <w:right w:val="single" w:color="000000" w:sz="4" w:space="0"/>
            </w:tcBorders>
          </w:tcPr>
          <w:p w14:paraId="3E1DB9E4">
            <w:pPr>
              <w:widowControl/>
              <w:ind w:firstLine="480" w:firstLineChars="200"/>
              <w:jc w:val="left"/>
              <w:rPr>
                <w:rFonts w:hint="eastAsia" w:cs="宋体" w:asciiTheme="minorEastAsia" w:hAnsiTheme="minorEastAsia"/>
                <w:color w:val="000000"/>
                <w:kern w:val="0"/>
                <w:sz w:val="24"/>
                <w:szCs w:val="24"/>
              </w:rPr>
            </w:pPr>
          </w:p>
        </w:tc>
        <w:tc>
          <w:tcPr>
            <w:tcW w:w="1014" w:type="dxa"/>
            <w:tcBorders>
              <w:top w:val="nil"/>
              <w:left w:val="nil"/>
              <w:bottom w:val="single" w:color="000000" w:sz="4" w:space="0"/>
              <w:right w:val="single" w:color="000000" w:sz="4" w:space="0"/>
            </w:tcBorders>
          </w:tcPr>
          <w:p w14:paraId="39C1FBB8">
            <w:pPr>
              <w:widowControl/>
              <w:ind w:firstLine="480" w:firstLineChars="200"/>
              <w:jc w:val="left"/>
              <w:rPr>
                <w:rFonts w:hint="eastAsia" w:cs="宋体" w:asciiTheme="minorEastAsia" w:hAnsiTheme="minorEastAsia"/>
                <w:color w:val="000000"/>
                <w:kern w:val="0"/>
                <w:sz w:val="24"/>
                <w:szCs w:val="24"/>
              </w:rPr>
            </w:pPr>
          </w:p>
        </w:tc>
        <w:tc>
          <w:tcPr>
            <w:tcW w:w="756" w:type="dxa"/>
            <w:tcBorders>
              <w:top w:val="nil"/>
              <w:left w:val="nil"/>
              <w:bottom w:val="single" w:color="000000" w:sz="4" w:space="0"/>
              <w:right w:val="single" w:color="000000" w:sz="4" w:space="0"/>
            </w:tcBorders>
          </w:tcPr>
          <w:p w14:paraId="2EDC7A4C">
            <w:pPr>
              <w:widowControl/>
              <w:ind w:firstLine="480" w:firstLineChars="200"/>
              <w:jc w:val="left"/>
              <w:rPr>
                <w:rFonts w:hint="eastAsia" w:cs="宋体" w:asciiTheme="minorEastAsia" w:hAnsiTheme="minorEastAsia"/>
                <w:color w:val="000000"/>
                <w:kern w:val="0"/>
                <w:sz w:val="24"/>
                <w:szCs w:val="24"/>
              </w:rPr>
            </w:pPr>
          </w:p>
        </w:tc>
        <w:tc>
          <w:tcPr>
            <w:tcW w:w="635" w:type="dxa"/>
            <w:tcBorders>
              <w:top w:val="nil"/>
              <w:left w:val="nil"/>
              <w:bottom w:val="single" w:color="000000" w:sz="4" w:space="0"/>
              <w:right w:val="single" w:color="000000" w:sz="4" w:space="0"/>
            </w:tcBorders>
          </w:tcPr>
          <w:p w14:paraId="7F47E21B">
            <w:pPr>
              <w:widowControl/>
              <w:ind w:firstLine="480" w:firstLineChars="200"/>
              <w:jc w:val="left"/>
              <w:rPr>
                <w:rFonts w:hint="eastAsia" w:cs="宋体" w:asciiTheme="minorEastAsia" w:hAnsiTheme="minorEastAsia"/>
                <w:color w:val="000000"/>
                <w:kern w:val="0"/>
                <w:sz w:val="24"/>
                <w:szCs w:val="24"/>
              </w:rPr>
            </w:pPr>
          </w:p>
        </w:tc>
        <w:tc>
          <w:tcPr>
            <w:tcW w:w="635" w:type="dxa"/>
            <w:tcBorders>
              <w:top w:val="nil"/>
              <w:left w:val="nil"/>
              <w:bottom w:val="single" w:color="000000" w:sz="4" w:space="0"/>
              <w:right w:val="single" w:color="000000" w:sz="4" w:space="0"/>
            </w:tcBorders>
          </w:tcPr>
          <w:p w14:paraId="744FA053">
            <w:pPr>
              <w:widowControl/>
              <w:ind w:firstLine="480" w:firstLineChars="200"/>
              <w:jc w:val="left"/>
              <w:rPr>
                <w:rFonts w:hint="eastAsia" w:cs="宋体" w:asciiTheme="minorEastAsia" w:hAnsiTheme="minorEastAsia"/>
                <w:color w:val="000000"/>
                <w:kern w:val="0"/>
                <w:sz w:val="24"/>
                <w:szCs w:val="24"/>
              </w:rPr>
            </w:pPr>
          </w:p>
        </w:tc>
        <w:tc>
          <w:tcPr>
            <w:tcW w:w="711" w:type="dxa"/>
            <w:tcBorders>
              <w:top w:val="nil"/>
              <w:left w:val="nil"/>
              <w:bottom w:val="single" w:color="000000" w:sz="4" w:space="0"/>
              <w:right w:val="single" w:color="000000" w:sz="4" w:space="0"/>
            </w:tcBorders>
          </w:tcPr>
          <w:p w14:paraId="4980774F">
            <w:pPr>
              <w:widowControl/>
              <w:ind w:firstLine="480" w:firstLineChars="200"/>
              <w:jc w:val="left"/>
              <w:rPr>
                <w:rFonts w:hint="eastAsia" w:cs="宋体" w:asciiTheme="minorEastAsia" w:hAnsiTheme="minorEastAsia"/>
                <w:color w:val="000000"/>
                <w:kern w:val="0"/>
                <w:sz w:val="24"/>
                <w:szCs w:val="24"/>
              </w:rPr>
            </w:pPr>
          </w:p>
        </w:tc>
        <w:tc>
          <w:tcPr>
            <w:tcW w:w="635" w:type="dxa"/>
            <w:tcBorders>
              <w:top w:val="nil"/>
              <w:left w:val="nil"/>
              <w:bottom w:val="single" w:color="000000" w:sz="4" w:space="0"/>
              <w:right w:val="single" w:color="000000" w:sz="4" w:space="0"/>
            </w:tcBorders>
          </w:tcPr>
          <w:p w14:paraId="217C6563">
            <w:pPr>
              <w:widowControl/>
              <w:ind w:firstLine="480" w:firstLineChars="200"/>
              <w:jc w:val="left"/>
              <w:rPr>
                <w:rFonts w:hint="eastAsia" w:cs="宋体" w:asciiTheme="minorEastAsia" w:hAnsiTheme="minorEastAsia"/>
                <w:color w:val="000000"/>
                <w:kern w:val="0"/>
                <w:sz w:val="24"/>
                <w:szCs w:val="24"/>
              </w:rPr>
            </w:pPr>
          </w:p>
        </w:tc>
        <w:tc>
          <w:tcPr>
            <w:tcW w:w="635" w:type="dxa"/>
            <w:tcBorders>
              <w:top w:val="nil"/>
              <w:left w:val="nil"/>
              <w:bottom w:val="single" w:color="000000" w:sz="4" w:space="0"/>
              <w:right w:val="single" w:color="000000" w:sz="4" w:space="0"/>
            </w:tcBorders>
          </w:tcPr>
          <w:p w14:paraId="388514F2">
            <w:pPr>
              <w:widowControl/>
              <w:ind w:firstLine="480" w:firstLineChars="200"/>
              <w:jc w:val="left"/>
              <w:rPr>
                <w:rFonts w:hint="eastAsia" w:cs="宋体" w:asciiTheme="minorEastAsia" w:hAnsiTheme="minorEastAsia"/>
                <w:color w:val="000000"/>
                <w:kern w:val="0"/>
                <w:sz w:val="24"/>
                <w:szCs w:val="24"/>
              </w:rPr>
            </w:pPr>
          </w:p>
        </w:tc>
      </w:tr>
    </w:tbl>
    <w:p w14:paraId="057FAE71">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1.2本合同总价为人民币元（￥元）。</w:t>
      </w:r>
    </w:p>
    <w:p w14:paraId="3240E532">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合同总价包含①包含货物及所需附件的购置费、包装费、运输费、安装调试费、人工费、保险费、各种税费、验收费、售后服务费及合同实施过程中的应预见和不可预见费用等完成合同规定责任和义务、达到合同目的的一切费用。②包括所有应支付的对专利权和版权、设计或其他知识产权而需要向其他方支付的版税。</w:t>
      </w:r>
    </w:p>
    <w:p w14:paraId="39984321">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二、合同主要条款</w:t>
      </w:r>
    </w:p>
    <w:p w14:paraId="56105EA2">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1.1本合同的付款方式为：。</w:t>
      </w:r>
    </w:p>
    <w:p w14:paraId="735B65A5">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1.2本合同货物的交货时间为：；交货地点为：。</w:t>
      </w:r>
    </w:p>
    <w:p w14:paraId="075976AC">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1.3本合同货物的质保期为：，自货物交付并经甲方验收合格之日起算。质量保修期内发生质量问题，全部由乙方负责。乙方怠于或拒绝履行的，甲方可委托第三方代为履行，发生的费用及损失由乙方承担。</w:t>
      </w:r>
    </w:p>
    <w:p w14:paraId="7A9DB29E">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具体质量保修服务要求及售后承诺：。</w:t>
      </w:r>
    </w:p>
    <w:p w14:paraId="6C81023D">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1.4乙方在履行本合同过程中造成其人员或第三人人身或财产损害的，由其自行处理和承担赔偿责任，与甲方无关，乙方不得因此影响本合同的履行。</w:t>
      </w:r>
    </w:p>
    <w:p w14:paraId="33E135E0">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1.5甲方根据项目要求增加其他必要条款：。</w:t>
      </w:r>
    </w:p>
    <w:p w14:paraId="2E346CBE">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三、合同一般条款</w:t>
      </w:r>
    </w:p>
    <w:p w14:paraId="42F39226">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1 定义本合同中的下列术语应解释为：</w:t>
      </w:r>
    </w:p>
    <w:p w14:paraId="494D3306">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1.1“合同”系指甲乙双方签署的、合同格式中载明的甲乙双方所达成的协议， 包括所有的附件、附录、和构成合同的其它文件。</w:t>
      </w:r>
    </w:p>
    <w:p w14:paraId="05BE7F1D">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1.2“合同价”系指根据合同约定，乙方在完全履行合同义务后甲方应付给乙方的价格。</w:t>
      </w:r>
    </w:p>
    <w:p w14:paraId="5E93C4F0">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1.3 “货物”系指乙方根据合同约定须向甲方提供的一切设备、机械、仪表、备件，包括工具、手册等其它相关资料。“服务”系指根据合同约定乙方承担与供货有关的辅助服务，如运输、保险及安装、调试、提供技术援助、培训和其他类似的服务。</w:t>
      </w:r>
    </w:p>
    <w:p w14:paraId="2114297D">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1.4 “验收”系指合同双方依据强制性的国家技术质量规范和合同约定，确认合同项下的货物符合合同规定的活动。</w:t>
      </w:r>
    </w:p>
    <w:p w14:paraId="3A09B5D7">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2 技术规范</w:t>
      </w:r>
    </w:p>
    <w:p w14:paraId="55E61E50">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2.1 提交货物的技术规范应与招标文件规定的技术规范和其投标文件的技术规范相一致。若技术规范中无相应说明，则以国家有关部门最新颁布的相应标准及规范为准。</w:t>
      </w:r>
    </w:p>
    <w:p w14:paraId="0C5A460B">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3 知识产权</w:t>
      </w:r>
    </w:p>
    <w:p w14:paraId="55BC9040">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3.1 乙方应保证甲方在使用该货物或其任何一部分时不受第三方提出的侵犯专利权、著作权、商标权和工业设计权等的起诉。如果任何第三方提出侵权指控，乙方须与第三方交涉并承担由此发生的一切责任、费用和经济赔偿，导致甲方不能使用成果的应退还全部项目费用，并承担违约责任及赔偿因此给甲方造成的全部损失。</w:t>
      </w:r>
    </w:p>
    <w:p w14:paraId="54F3EBBE">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4 包装要求</w:t>
      </w:r>
    </w:p>
    <w:p w14:paraId="4F1FC20E">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4.1 除合同另有约定外，乙方提供的全部货物，均应采用本行业通用的方式进行包装，且该包装应符合国家有关包装的法律、法规的规定。包装应适应于远距离运输、防潮、防震、防锈和防粗暴装卸，确保货物安全无损，运抵现场。由于包装不善等非甲方原因所引起的货物锈蚀、损坏和损失均由乙方承担。</w:t>
      </w:r>
    </w:p>
    <w:p w14:paraId="0803F7BF">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4.2 每件包装箱内应附一份详细装箱单、质量合格证、保修单。</w:t>
      </w:r>
    </w:p>
    <w:p w14:paraId="10B5B4BA">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5 交货方式</w:t>
      </w:r>
    </w:p>
    <w:p w14:paraId="210E25D8">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5.1 乙方应按甲方指定时间和地点交货。</w:t>
      </w:r>
    </w:p>
    <w:p w14:paraId="1531DC4F">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6技术资料</w:t>
      </w:r>
    </w:p>
    <w:p w14:paraId="5EE5A995">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6.1本合同技术资料（除合同主要条款规定外）将以下方式交付：。</w:t>
      </w:r>
    </w:p>
    <w:p w14:paraId="0AFC3317">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6.2乙方所提供货物必须符合国家有关规范和环保要求及甲方的技术要求，并提供货物的出厂测试报告及合格证，进口产品必须具备原产地证明或商检部门的检验证明及合法进货渠道证明。</w:t>
      </w:r>
    </w:p>
    <w:p w14:paraId="69A7AA13">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7 质量保证</w:t>
      </w:r>
    </w:p>
    <w:p w14:paraId="0FEA784B">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7.1 乙方须保证货物是全新、未使用过的，并完全符合强制性的国家技术质量规范和合同规定的质量、规格、性能和技术规范等的要求。</w:t>
      </w:r>
    </w:p>
    <w:p w14:paraId="0D332AF1">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7.2 乙方须保证所提供的货物经正确安装、正常运转和保养，在其使用寿命期内须具有符合质量要求和产品说明书的性能。在货物质量保证期之内，乙方须对由于设计、工艺或材料的缺陷而发生的任何不足或故障负责。</w:t>
      </w:r>
    </w:p>
    <w:p w14:paraId="37FB9C3F">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7.3 根据甲方按检验标准自己检验结果或委托有资质的相关质检机构的检验结果，发现货物的数量、质量、规格与本合同不符；或者在质量保证期内，证实货物存在缺陷，包括潜在的缺陷或使用不符合要求的材料等，甲方应尽快以书面形式通知乙方。乙方在收到通知后天内应免费维修或更换有缺陷的货物或部件。</w:t>
      </w:r>
    </w:p>
    <w:p w14:paraId="76E08388">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7.4 如果乙方在收到通知后天内没有弥补缺陷，甲方有权自行或是委托第三方采取必要的补救措施，但由此引发的风险和费用将由乙方承担。</w:t>
      </w:r>
    </w:p>
    <w:p w14:paraId="31A1EA6D">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7.5 除“合同主要条款”规定外，合同项下货物的质量保证期为自货物通过最终验收起个月（如相关规定超过该期限，则按照该规定执行）。</w:t>
      </w:r>
    </w:p>
    <w:p w14:paraId="072C119E">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8 检验和验收</w:t>
      </w:r>
    </w:p>
    <w:p w14:paraId="483CA76D">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8.1 在交货前，乙方应对货物的质量、规格、性能、数量和重量等进行详细而全面的检验，并出具证明货物符合合同规定的文件。该文件将作为申请付款单据的一部分。</w:t>
      </w:r>
    </w:p>
    <w:p w14:paraId="45DBE6F1">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8.2 验收应在甲乙双方共同参加下进行，依据制定的方案进行安装、调试，确保通过有关部门的验收。</w:t>
      </w:r>
    </w:p>
    <w:p w14:paraId="65CB5910">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8.3验收按国家有关规定、规范进行。验收时发现所交付的货物有短缺、次品、损坏或其它不符合本合同规定之情形的，甲方应做出详尽的现场记录，或由甲乙双方签署备忘录。此现场记录或备忘录可用作补充、缺失和更换损坏部件的有效证据。由此产生的有关费用由乙方承担。如果合同货物运输和安装调试过程中因事故造成货物短缺、损坏，乙方应及时安排换货，以保证合同货物成功完整交付。换货的相关费用由乙方承担。</w:t>
      </w:r>
    </w:p>
    <w:p w14:paraId="2F2B3308">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8.4 甲方组织项目验收小组按国家有关规定、规范进行验收，必要时邀请相关专业人员或机构参与验收。因货物质量问题发生争议时，双方同意共同委托东莞市质量技术监督部门鉴定。货物符合质量技术标准的，鉴定费由甲方承担；否则，鉴定费由乙方承担。</w:t>
      </w:r>
    </w:p>
    <w:p w14:paraId="738D8DB6">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9 索赔</w:t>
      </w:r>
    </w:p>
    <w:p w14:paraId="532A45A0">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9.1 如果货物的质量、规格、数量、重量等与合同不符，或在合同约定的质量保证期内证实货物存有缺陷，包括潜在的缺陷或使用不符合要求的材料等，甲方有权向乙方提出索赔（索赔金额不低于合同总价5%）。</w:t>
      </w:r>
    </w:p>
    <w:p w14:paraId="7D05A07D">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9.2 在根据合同规定的检验期和质量保证期内，如果乙方对甲方提出的索赔负有责任，乙方应按照甲方同意的方式解决索赔事宜，或由双方协商处理。</w:t>
      </w:r>
    </w:p>
    <w:p w14:paraId="516F03BD">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9.3 如果在甲方发出索赔通知后天内，乙方未作答复，上述索赔应视为已被乙方接受。如乙方未能在甲方提出索赔通知后天内或甲方同意的更长时间内，按照本合同规定的方法解决索赔事宜，甲方将从合同款或从乙方开具的履约保证金保函中扣回索赔金额。如果这些金额不足以补偿索赔金额，甲方有权向乙方提出不足部分的补偿。</w:t>
      </w:r>
    </w:p>
    <w:p w14:paraId="312CA418">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9.4 本合同所述之损失、经济赔偿是指甲方因乙方原因而造成的经济损失、因此而向第三方支付的赔偿金、违约金、因此而支付的诉讼费、律师费、公证费、鉴定费、保全费等全部费用。</w:t>
      </w:r>
    </w:p>
    <w:p w14:paraId="0F2900D7">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10 迟延交货</w:t>
      </w:r>
    </w:p>
    <w:p w14:paraId="1E83BD1C">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10.1 乙方应按照甲方规定的时间交货和提供服务。</w:t>
      </w:r>
    </w:p>
    <w:p w14:paraId="18E7992C">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10.2 如果乙方无正当理由迟延交货，甲方有权提出违约损失赔偿或解除合同。</w:t>
      </w:r>
    </w:p>
    <w:p w14:paraId="0EE11E65">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10.3 在履行合同过程中，如果乙方遇到不能按时交货和提供服务的情况，应及时以书面形式将不能按时交货的理由、预期延误时间通知甲方。甲方收到乙方通知后，认为其理由正当的，可酌情延长交货时间，认为理由不成立的，交货期限不予延长。</w:t>
      </w:r>
    </w:p>
    <w:p w14:paraId="1C730AF4">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11 违约赔偿</w:t>
      </w:r>
    </w:p>
    <w:p w14:paraId="0E5854C8">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11.1 除合同规定外，如果乙方没有按照合同规定的时间提供质量合格的货物和服务，甲方可要求乙方支付违约金。从逾期之日起每日按本合同总价1‰的数额向甲方支付违约金；逾期15天以上（含15天）的，甲方有权终止合同，要求乙方支付合同总价20%的违约金，并且给甲方造成的经济损失由乙方承担赔偿责任。</w:t>
      </w:r>
    </w:p>
    <w:p w14:paraId="101437AE">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11.2因乙方原因导致本合同解除或是无法履行的，乙方应向甲方支付合同总价20%的违约金，违约金不足以弥补甲方损失的，乙方应另行补足。</w:t>
      </w:r>
    </w:p>
    <w:p w14:paraId="722E97E5">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11.3甲方有权从未支付的款项或是履约保证金中直接扣除乙方的违约金，不足的部分由乙方另行补足。</w:t>
      </w:r>
    </w:p>
    <w:p w14:paraId="312F4BC1">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12 不可抗力</w:t>
      </w:r>
    </w:p>
    <w:p w14:paraId="5EEA475B">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12.1 如果双方中任何一方遭遇法律规定的不可抗力，致使合同履行受阻时，履行合同的期限应予延长，延长的期限应相当于不可抗力所影响的时间。</w:t>
      </w:r>
    </w:p>
    <w:p w14:paraId="7F1B078E">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12.2 受事故影响的一方应在不可抗力的事故发生后尽快书面形式通知另一方，并在事故发生后天内，将有关部门出具的证明文件送达另一方。</w:t>
      </w:r>
    </w:p>
    <w:p w14:paraId="6227A101">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12.3 不可抗力使合同的某些内容有变更必要的，合同签订双方应通过协商在日内达成进一步履行合同的协议，因不可抗力致使合同不能履行的，合同终止。</w:t>
      </w:r>
    </w:p>
    <w:p w14:paraId="7156030A">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13税费</w:t>
      </w:r>
    </w:p>
    <w:p w14:paraId="654F02A4">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13.1 与本合同有关的一切税费均适用中华人民共和国法律的相关规定。</w:t>
      </w:r>
    </w:p>
    <w:p w14:paraId="551ECDA9">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14 合同争议的解决</w:t>
      </w:r>
    </w:p>
    <w:p w14:paraId="0223249F">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14.1 因合同履行中发生的争议，可通过合同当事人双方友好协商解决。如自协商开始之起15日内得不到解决，双方应将争议提交同级政府采购监督管理部门调解。调解不成的，可向甲方所在地有管辖权人民法院提起诉讼。</w:t>
      </w:r>
    </w:p>
    <w:p w14:paraId="2AFB4B1C">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15 违约解除合同</w:t>
      </w:r>
    </w:p>
    <w:p w14:paraId="77DC1DE7">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15.1 在乙方违约的情况下，甲方经同级政府采购监督管理部门审批后，可向乙方发出书面通知，部分或全部终止合同。同时保留向乙方追诉的权利。</w:t>
      </w:r>
    </w:p>
    <w:p w14:paraId="39158FC4">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15.2全部或部分解除合同之后，应当遵循诚实信用原则，以政府采购监督管理部门同意的方式，购买未予交付的货物类似的货物或服务。乙方应承担甲方购买类似货物或服务而产生的额外支出。部分解除合同的，乙方应继续履行合同中未解除的部分。</w:t>
      </w:r>
    </w:p>
    <w:p w14:paraId="534CD393">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16破产终止合同</w:t>
      </w:r>
    </w:p>
    <w:p w14:paraId="62418652">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16.1 如果乙方破产或无清偿能力时，甲方经报同级政府采购监督管理部门审批后，可在任何时候以书面通知乙方，提出终止合同而不给乙方补偿。该合同的终止将不损害或不影响甲方已经采取或将要采取任何行动或补救措施的权利。</w:t>
      </w:r>
    </w:p>
    <w:p w14:paraId="6896FA53">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17 转让和分包</w:t>
      </w:r>
    </w:p>
    <w:p w14:paraId="095CE291">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17.1 政府采购合同不能转让。</w:t>
      </w:r>
    </w:p>
    <w:p w14:paraId="3F7FE227">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17.2经甲方事先书面同意乙方可以将合同项下非主体、非关键性工作分包给他人完成。接受分包的人应当具备相应的资格条件，并不得再次分包。分包后不能解除乙方履行本合同的责任和义务，接受分包的人与乙方共同对甲方连带承担合同的责任和义务。</w:t>
      </w:r>
    </w:p>
    <w:p w14:paraId="3E7FF4F5">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17.3甲方和乙方都不得擅自变更本合同，但合同继续履行将损害国家和社会公共利益的除外。如必须对合同条款进行改动时，当事人双方须共同签署书面文件，作为合同的补充，并报同级政府采购监督管理部门备案。</w:t>
      </w:r>
    </w:p>
    <w:p w14:paraId="0AB506CA">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17.4乙方擅自转让本合同或是未经甲方书面同意将合同项下非主体、非关键性工作分包给他人的，甲方有权立即解除本合同，同时要求乙方支付合同总价20%的违约金，违约金不足以弥补甲方损失，甲方有权继续向乙方追索。</w:t>
      </w:r>
    </w:p>
    <w:p w14:paraId="29D7DDDB">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18 计量单位</w:t>
      </w:r>
    </w:p>
    <w:p w14:paraId="22487121">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18.1 除技术规范中另有规定外，计量单位均使用国家法定计量单位。</w:t>
      </w:r>
    </w:p>
    <w:p w14:paraId="4F38AA7E">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19 合同生效和其它</w:t>
      </w:r>
    </w:p>
    <w:p w14:paraId="627EAD0E">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19.1 政府采购项目的采购合同内容的确定应以招标文件和投标文件为基础，不得违背其实质性内容。政府采购项目的采购合同自签订之日起七个工作日内，甲方应当将合同副本报同级政府采购监督管理部门和有关部门备案。合同将在双方签字盖章后开始生效。</w:t>
      </w:r>
    </w:p>
    <w:p w14:paraId="2178254A">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19.2本合同一式份，甲方执份，乙方执份，采购代理机构执壹份，具同等法律效力。</w:t>
      </w:r>
    </w:p>
    <w:p w14:paraId="4478A246">
      <w:pPr>
        <w:widowControl/>
        <w:ind w:firstLine="480" w:firstLineChars="200"/>
        <w:jc w:val="lef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19.3其它未尽事宜，由甲乙双方友好协商解决，并参照《中华人民共和国民法典》有关条款执行。</w:t>
      </w:r>
    </w:p>
    <w:p w14:paraId="2E98E3C3">
      <w:pPr>
        <w:widowControl/>
        <w:ind w:firstLine="480" w:firstLineChars="20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19.4本合同应按照中华人民共和国的法律进行解释。 </w:t>
      </w:r>
    </w:p>
    <w:p w14:paraId="1F18D5B1">
      <w:pPr>
        <w:widowControl/>
        <w:ind w:firstLine="482" w:firstLineChars="200"/>
        <w:jc w:val="left"/>
        <w:rPr>
          <w:rFonts w:cs="宋体" w:asciiTheme="minorEastAsia" w:hAnsiTheme="minorEastAsia"/>
          <w:b/>
          <w:color w:val="000000"/>
          <w:kern w:val="0"/>
          <w:sz w:val="24"/>
          <w:szCs w:val="24"/>
        </w:rPr>
      </w:pPr>
      <w:r>
        <w:rPr>
          <w:rFonts w:cs="宋体" w:asciiTheme="minorEastAsia" w:hAnsiTheme="minorEastAsia"/>
          <w:b/>
          <w:color w:val="000000"/>
          <w:kern w:val="0"/>
          <w:sz w:val="24"/>
          <w:szCs w:val="24"/>
        </w:rPr>
        <w:t>（四）履约验收方案</w:t>
      </w:r>
    </w:p>
    <w:p w14:paraId="47AE290A">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1.包1</w:t>
      </w:r>
    </w:p>
    <w:p w14:paraId="0231816E">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（1）履约验收主体</w:t>
      </w:r>
    </w:p>
    <w:p w14:paraId="65764EE9">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√采购人：</w:t>
      </w:r>
      <w:r>
        <w:rPr>
          <w:rFonts w:hint="eastAsia" w:cs="宋体" w:asciiTheme="minorEastAsia" w:hAnsiTheme="minorEastAsia"/>
          <w:color w:val="000000"/>
          <w:kern w:val="0"/>
          <w:sz w:val="24"/>
          <w:szCs w:val="24"/>
          <w:u w:val="single"/>
        </w:rPr>
        <w:t xml:space="preserve">                             </w:t>
      </w:r>
    </w:p>
    <w:p w14:paraId="576BF494">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□采购代理机构：</w:t>
      </w:r>
      <w:r>
        <w:rPr>
          <w:rFonts w:hint="eastAsia" w:cs="宋体" w:asciiTheme="minorEastAsia" w:hAnsiTheme="minorEastAsia"/>
          <w:color w:val="000000"/>
          <w:kern w:val="0"/>
          <w:sz w:val="24"/>
          <w:szCs w:val="24"/>
          <w:u w:val="single"/>
        </w:rPr>
        <w:t xml:space="preserve">                             </w:t>
      </w:r>
    </w:p>
    <w:p w14:paraId="60BA781A">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□本项目的其他供应商：</w:t>
      </w:r>
      <w:r>
        <w:rPr>
          <w:rFonts w:hint="eastAsia" w:cs="宋体" w:asciiTheme="minorEastAsia" w:hAnsiTheme="minorEastAsia"/>
          <w:color w:val="000000"/>
          <w:kern w:val="0"/>
          <w:sz w:val="24"/>
          <w:szCs w:val="24"/>
          <w:u w:val="single"/>
        </w:rPr>
        <w:t xml:space="preserve">                             </w:t>
      </w:r>
    </w:p>
    <w:p w14:paraId="3B2D93C1">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□第三方专业机构：</w:t>
      </w:r>
      <w:r>
        <w:rPr>
          <w:rFonts w:hint="eastAsia" w:cs="宋体" w:asciiTheme="minorEastAsia" w:hAnsiTheme="minorEastAsia"/>
          <w:color w:val="000000"/>
          <w:kern w:val="0"/>
          <w:sz w:val="24"/>
          <w:szCs w:val="24"/>
          <w:u w:val="single"/>
        </w:rPr>
        <w:t xml:space="preserve">                             </w:t>
      </w:r>
    </w:p>
    <w:p w14:paraId="0112365D">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□专家：</w:t>
      </w:r>
      <w:r>
        <w:rPr>
          <w:rFonts w:hint="eastAsia" w:cs="宋体" w:asciiTheme="minorEastAsia" w:hAnsiTheme="minorEastAsia"/>
          <w:color w:val="000000"/>
          <w:kern w:val="0"/>
          <w:sz w:val="24"/>
          <w:szCs w:val="24"/>
          <w:u w:val="single"/>
        </w:rPr>
        <w:t xml:space="preserve">                             </w:t>
      </w:r>
    </w:p>
    <w:p w14:paraId="6DCDF5D2">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□服务对象：</w:t>
      </w:r>
      <w:r>
        <w:rPr>
          <w:rFonts w:hint="eastAsia" w:cs="宋体" w:asciiTheme="minorEastAsia" w:hAnsiTheme="minorEastAsia"/>
          <w:color w:val="000000"/>
          <w:kern w:val="0"/>
          <w:sz w:val="24"/>
          <w:szCs w:val="24"/>
          <w:u w:val="single"/>
        </w:rPr>
        <w:t xml:space="preserve">                             </w:t>
      </w:r>
    </w:p>
    <w:p w14:paraId="3E4FF178">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□其他：</w:t>
      </w:r>
      <w:r>
        <w:rPr>
          <w:rFonts w:hint="eastAsia" w:cs="宋体" w:asciiTheme="minorEastAsia" w:hAnsiTheme="minorEastAsia"/>
          <w:color w:val="000000"/>
          <w:kern w:val="0"/>
          <w:sz w:val="24"/>
          <w:szCs w:val="24"/>
          <w:u w:val="single"/>
        </w:rPr>
        <w:t xml:space="preserve">                             </w:t>
      </w:r>
    </w:p>
    <w:p w14:paraId="2200F907">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（2）履约验收时间</w:t>
      </w:r>
    </w:p>
    <w:p w14:paraId="611815A9">
      <w:pPr>
        <w:widowControl/>
        <w:ind w:firstLine="480" w:firstLineChars="200"/>
        <w:jc w:val="left"/>
        <w:rPr>
          <w:rFonts w:hint="eastAsia" w:cs="宋体" w:asciiTheme="minorEastAsia" w:hAnsiTheme="minorEastAsia"/>
          <w:color w:val="000000"/>
          <w:kern w:val="0"/>
          <w:sz w:val="24"/>
          <w:szCs w:val="24"/>
          <w:u w:val="single"/>
          <w:lang w:val="en-US" w:eastAsia="zh-CN"/>
        </w:rPr>
      </w:pPr>
      <w:r>
        <w:rPr>
          <w:rFonts w:hint="eastAsia" w:cs="宋体" w:asciiTheme="minorEastAsia" w:hAnsiTheme="minorEastAsia"/>
          <w:color w:val="000000"/>
          <w:kern w:val="0"/>
          <w:sz w:val="24"/>
          <w:szCs w:val="24"/>
          <w:u w:val="single"/>
          <w:lang w:val="en-US" w:eastAsia="zh-CN"/>
        </w:rPr>
        <w:t>1.完成期：自双方签订合同生效之日起90个工作日之内，中标供应商必须完成本项目的初步验收（包括完成项目的供货、运输、仓储、安装、调试、施工等工作），初步验收通过后进入为期30个工作日的试运行，试运行通过后进行项目最终验收。</w:t>
      </w:r>
    </w:p>
    <w:p w14:paraId="16ECCA65">
      <w:pPr>
        <w:widowControl/>
        <w:ind w:firstLine="480" w:firstLineChars="20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u w:val="single"/>
          <w:lang w:val="en-US" w:eastAsia="zh-CN"/>
        </w:rPr>
        <w:t>2.质保期：项目完成验收合格之日起叁年。（产品有特殊要求的按实际需求执行）</w:t>
      </w:r>
      <w:r>
        <w:rPr>
          <w:rFonts w:hint="eastAsia" w:cs="宋体" w:asciiTheme="minorEastAsia" w:hAnsiTheme="minorEastAsia"/>
          <w:color w:val="000000"/>
          <w:kern w:val="0"/>
          <w:sz w:val="24"/>
          <w:szCs w:val="24"/>
          <w:u w:val="single"/>
        </w:rPr>
        <w:t xml:space="preserve"> </w:t>
      </w:r>
    </w:p>
    <w:p w14:paraId="66A022D9">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（3）履约验收方式</w:t>
      </w:r>
    </w:p>
    <w:p w14:paraId="74A7BB21">
      <w:pPr>
        <w:widowControl/>
        <w:ind w:firstLine="480" w:firstLineChars="20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u w:val="single"/>
          <w:lang w:val="en-US" w:eastAsia="zh-CN"/>
        </w:rPr>
        <w:t>中标供应商必须完成本项目的初步验收（包括完成项目的供货、运输、仓储、安装、调试、施工等工作），初步验收通过后进入为期30个工作日的试运行，试运行通过后进行项目最终验收。</w:t>
      </w:r>
      <w:r>
        <w:rPr>
          <w:rFonts w:hint="eastAsia" w:cs="宋体" w:asciiTheme="minorEastAsia" w:hAnsiTheme="minorEastAsia"/>
          <w:color w:val="000000"/>
          <w:kern w:val="0"/>
          <w:sz w:val="24"/>
          <w:szCs w:val="24"/>
          <w:u w:val="single"/>
        </w:rPr>
        <w:t xml:space="preserve"> </w:t>
      </w:r>
    </w:p>
    <w:p w14:paraId="56DEACF3">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（4）履约验收程序</w:t>
      </w:r>
    </w:p>
    <w:p w14:paraId="456B263D">
      <w:pPr>
        <w:widowControl/>
        <w:ind w:firstLine="480" w:firstLineChars="20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u w:val="single"/>
          <w:lang w:val="en-US" w:eastAsia="zh-CN"/>
        </w:rPr>
        <w:t xml:space="preserve">验收工作按照《财政部关于进一步加强政府采购需求和履约验收管理的指导意见》（财库【2016】205号）、《关于规范政府采购项目履约验收工作的通知》（东财【2023】123号）要求执行。 </w:t>
      </w:r>
      <w:r>
        <w:rPr>
          <w:rFonts w:hint="eastAsia" w:cs="宋体" w:asciiTheme="minorEastAsia" w:hAnsiTheme="minorEastAsia"/>
          <w:color w:val="000000"/>
          <w:kern w:val="0"/>
          <w:sz w:val="24"/>
          <w:szCs w:val="24"/>
          <w:u w:val="single"/>
        </w:rPr>
        <w:t xml:space="preserve"> </w:t>
      </w:r>
    </w:p>
    <w:p w14:paraId="21439725">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（5）履约验收内容</w:t>
      </w:r>
    </w:p>
    <w:p w14:paraId="340FBFEA">
      <w:pPr>
        <w:widowControl/>
        <w:ind w:firstLine="480" w:firstLineChars="200"/>
        <w:jc w:val="left"/>
        <w:rPr>
          <w:rFonts w:cs="宋体" w:asciiTheme="minorEastAsia" w:hAnsiTheme="minorEastAsia"/>
          <w:i w:val="0"/>
          <w:iCs w:val="0"/>
          <w:color w:val="000000"/>
          <w:kern w:val="0"/>
          <w:sz w:val="24"/>
          <w:szCs w:val="24"/>
        </w:rPr>
      </w:pPr>
      <w:r>
        <w:rPr>
          <w:rFonts w:hint="eastAsia" w:cs="宋体" w:asciiTheme="minorEastAsia" w:hAnsiTheme="minorEastAsia"/>
          <w:i w:val="0"/>
          <w:iCs w:val="0"/>
          <w:color w:val="000000"/>
          <w:kern w:val="0"/>
          <w:sz w:val="24"/>
          <w:szCs w:val="24"/>
          <w:u w:val="single"/>
          <w:lang w:val="en-US" w:eastAsia="zh-CN"/>
        </w:rPr>
        <w:t>符合采购文件的相关要求</w:t>
      </w:r>
      <w:r>
        <w:rPr>
          <w:rFonts w:cs="宋体" w:asciiTheme="minorEastAsia" w:hAnsiTheme="minorEastAsia"/>
          <w:i w:val="0"/>
          <w:iCs w:val="0"/>
          <w:color w:val="000000"/>
          <w:kern w:val="0"/>
          <w:sz w:val="24"/>
          <w:szCs w:val="24"/>
          <w:u w:val="single"/>
        </w:rPr>
        <w:t>。</w:t>
      </w:r>
    </w:p>
    <w:p w14:paraId="575731D2">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（6）履约验收标准</w:t>
      </w:r>
    </w:p>
    <w:p w14:paraId="57BF9D41">
      <w:pPr>
        <w:widowControl/>
        <w:ind w:firstLine="480" w:firstLineChars="200"/>
        <w:jc w:val="left"/>
        <w:rPr>
          <w:rFonts w:hint="eastAsia" w:cs="宋体" w:asciiTheme="minorEastAsia" w:hAnsiTheme="minorEastAsia"/>
          <w:color w:val="000000"/>
          <w:kern w:val="0"/>
          <w:sz w:val="24"/>
          <w:szCs w:val="24"/>
          <w:u w:val="single"/>
          <w:lang w:val="en-US" w:eastAsia="zh-CN"/>
        </w:rPr>
      </w:pPr>
      <w:r>
        <w:rPr>
          <w:rFonts w:hint="eastAsia" w:cs="宋体" w:asciiTheme="minorEastAsia" w:hAnsiTheme="minorEastAsia"/>
          <w:color w:val="000000"/>
          <w:kern w:val="0"/>
          <w:sz w:val="24"/>
          <w:szCs w:val="24"/>
          <w:u w:val="single"/>
          <w:lang w:val="en-US" w:eastAsia="zh-CN"/>
        </w:rPr>
        <w:t>（1）符合中华人民共和国和履约地相关安全/质量标准、技术标准、行业标准；</w:t>
      </w:r>
    </w:p>
    <w:p w14:paraId="1F1F2A39">
      <w:pPr>
        <w:widowControl/>
        <w:ind w:firstLine="480" w:firstLineChars="200"/>
        <w:jc w:val="left"/>
        <w:rPr>
          <w:rFonts w:hint="eastAsia" w:cs="宋体" w:asciiTheme="minorEastAsia" w:hAnsiTheme="minorEastAsia"/>
          <w:color w:val="000000"/>
          <w:kern w:val="0"/>
          <w:sz w:val="24"/>
          <w:szCs w:val="24"/>
          <w:u w:val="single"/>
          <w:lang w:val="en-US" w:eastAsia="zh-CN"/>
        </w:rPr>
      </w:pPr>
      <w:r>
        <w:rPr>
          <w:rFonts w:hint="eastAsia" w:cs="宋体" w:asciiTheme="minorEastAsia" w:hAnsiTheme="minorEastAsia"/>
          <w:color w:val="000000"/>
          <w:kern w:val="0"/>
          <w:sz w:val="24"/>
          <w:szCs w:val="24"/>
          <w:u w:val="single"/>
          <w:lang w:val="en-US" w:eastAsia="zh-CN"/>
        </w:rPr>
        <w:t>（2）符合采购文件和响应文件中采购人认可的最佳技术标准及各项商务要求；</w:t>
      </w:r>
    </w:p>
    <w:p w14:paraId="51394491">
      <w:pPr>
        <w:widowControl/>
        <w:ind w:firstLine="480" w:firstLineChars="20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u w:val="single"/>
          <w:lang w:val="en-US" w:eastAsia="zh-CN"/>
        </w:rPr>
        <w:t>（3）符合采购文件的项目目标及服务要求。</w:t>
      </w:r>
      <w:r>
        <w:rPr>
          <w:rFonts w:hint="eastAsia" w:cs="宋体" w:asciiTheme="minorEastAsia" w:hAnsiTheme="minorEastAsia"/>
          <w:color w:val="000000"/>
          <w:kern w:val="0"/>
          <w:sz w:val="24"/>
          <w:szCs w:val="24"/>
          <w:u w:val="single"/>
        </w:rPr>
        <w:t xml:space="preserve">  </w:t>
      </w:r>
    </w:p>
    <w:p w14:paraId="1558B677">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（7）履约验收其他事项</w:t>
      </w:r>
    </w:p>
    <w:p w14:paraId="477DAEA7">
      <w:pPr>
        <w:widowControl/>
        <w:ind w:firstLine="480" w:firstLineChars="20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u w:val="single"/>
        </w:rPr>
        <w:t xml:space="preserve">   </w:t>
      </w:r>
      <w:r>
        <w:rPr>
          <w:rFonts w:hint="eastAsia" w:cs="宋体" w:asciiTheme="minorEastAsia" w:hAnsiTheme="minorEastAsia"/>
          <w:color w:val="000000"/>
          <w:kern w:val="0"/>
          <w:sz w:val="24"/>
          <w:szCs w:val="24"/>
          <w:u w:val="single"/>
          <w:lang w:val="en-US" w:eastAsia="zh-CN"/>
        </w:rPr>
        <w:t>/</w:t>
      </w:r>
      <w:r>
        <w:rPr>
          <w:rFonts w:hint="eastAsia" w:cs="宋体" w:asciiTheme="minorEastAsia" w:hAnsiTheme="minorEastAsia"/>
          <w:color w:val="000000"/>
          <w:kern w:val="0"/>
          <w:sz w:val="24"/>
          <w:szCs w:val="24"/>
          <w:u w:val="single"/>
        </w:rPr>
        <w:t xml:space="preserve">    </w:t>
      </w:r>
    </w:p>
    <w:p w14:paraId="51DA9024">
      <w:pPr>
        <w:widowControl/>
        <w:ind w:firstLine="480" w:firstLineChars="20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p>
    <w:p w14:paraId="2A2B0B82">
      <w:pPr>
        <w:widowControl/>
        <w:ind w:firstLine="482" w:firstLineChars="200"/>
        <w:jc w:val="left"/>
        <w:rPr>
          <w:rFonts w:cs="宋体" w:asciiTheme="minorEastAsia" w:hAnsiTheme="minorEastAsia"/>
          <w:b/>
          <w:color w:val="000000"/>
          <w:kern w:val="0"/>
          <w:sz w:val="24"/>
          <w:szCs w:val="24"/>
        </w:rPr>
      </w:pPr>
      <w:r>
        <w:rPr>
          <w:rFonts w:cs="宋体" w:asciiTheme="minorEastAsia" w:hAnsiTheme="minorEastAsia"/>
          <w:b/>
          <w:color w:val="000000"/>
          <w:kern w:val="0"/>
          <w:sz w:val="24"/>
          <w:szCs w:val="24"/>
        </w:rPr>
        <w:t>（五）风险管控措施</w:t>
      </w:r>
    </w:p>
    <w:p w14:paraId="5E0B58DC">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1.包1</w:t>
      </w:r>
    </w:p>
    <w:p w14:paraId="22CD16E4">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（1）国家政策变化应对措施：</w:t>
      </w:r>
      <w:r>
        <w:rPr>
          <w:rFonts w:hint="eastAsia" w:cs="宋体" w:asciiTheme="minorEastAsia" w:hAnsiTheme="minorEastAsia"/>
          <w:color w:val="000000"/>
          <w:kern w:val="0"/>
          <w:sz w:val="24"/>
          <w:szCs w:val="24"/>
          <w:u w:val="single"/>
        </w:rPr>
        <w:t xml:space="preserve"> 严格按照国家颁布的政府采购政策实施政府采购，如国家政策变化，将及时发布相关澄清公告，调整相关政府采购政策。 </w:t>
      </w:r>
    </w:p>
    <w:p w14:paraId="2021FBBC">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（2）实施环境变化应对措施：</w:t>
      </w:r>
      <w:r>
        <w:rPr>
          <w:rFonts w:hint="eastAsia" w:cs="宋体" w:asciiTheme="minorEastAsia" w:hAnsiTheme="minorEastAsia"/>
          <w:color w:val="000000"/>
          <w:kern w:val="0"/>
          <w:sz w:val="24"/>
          <w:szCs w:val="24"/>
          <w:u w:val="single"/>
        </w:rPr>
        <w:t xml:space="preserve">  无  </w:t>
      </w:r>
    </w:p>
    <w:p w14:paraId="278FD941">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（3）重大技术变化应对措施：</w:t>
      </w:r>
      <w:r>
        <w:rPr>
          <w:rFonts w:hint="eastAsia" w:cs="宋体" w:asciiTheme="minorEastAsia" w:hAnsiTheme="minorEastAsia"/>
          <w:color w:val="000000"/>
          <w:kern w:val="0"/>
          <w:sz w:val="24"/>
          <w:szCs w:val="24"/>
          <w:u w:val="single"/>
        </w:rPr>
        <w:t xml:space="preserve"> </w:t>
      </w:r>
      <w:r>
        <w:rPr>
          <w:rFonts w:hint="eastAsia" w:cs="宋体" w:asciiTheme="minorEastAsia" w:hAnsiTheme="minorEastAsia"/>
          <w:color w:val="000000"/>
          <w:kern w:val="0"/>
          <w:sz w:val="24"/>
          <w:szCs w:val="24"/>
          <w:u w:val="single"/>
          <w:lang w:val="en-US" w:eastAsia="zh-CN"/>
        </w:rPr>
        <w:t>若市级或以上部门或相关行业发布最新标准规范，或发布最新的法律法规规定的，按最新要求执行。</w:t>
      </w:r>
      <w:r>
        <w:rPr>
          <w:rFonts w:hint="eastAsia" w:cs="宋体" w:asciiTheme="minorEastAsia" w:hAnsiTheme="minorEastAsia"/>
          <w:color w:val="000000"/>
          <w:kern w:val="0"/>
          <w:sz w:val="24"/>
          <w:szCs w:val="24"/>
          <w:u w:val="single"/>
        </w:rPr>
        <w:t xml:space="preserve"> </w:t>
      </w:r>
    </w:p>
    <w:p w14:paraId="20406EE3">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（4）预算项目调整应对措施：</w:t>
      </w:r>
      <w:r>
        <w:rPr>
          <w:rFonts w:hint="eastAsia" w:cs="宋体" w:asciiTheme="minorEastAsia" w:hAnsiTheme="minorEastAsia"/>
          <w:color w:val="000000"/>
          <w:kern w:val="0"/>
          <w:sz w:val="24"/>
          <w:szCs w:val="24"/>
          <w:u w:val="single"/>
        </w:rPr>
        <w:t xml:space="preserve"> </w:t>
      </w:r>
      <w:r>
        <w:rPr>
          <w:rFonts w:hint="eastAsia" w:cs="宋体" w:asciiTheme="minorEastAsia" w:hAnsiTheme="minorEastAsia"/>
          <w:color w:val="000000"/>
          <w:kern w:val="0"/>
          <w:sz w:val="24"/>
          <w:szCs w:val="24"/>
          <w:u w:val="single"/>
          <w:lang w:eastAsia="zh-CN"/>
        </w:rPr>
        <w:t>因本项目资金来源于政府财政资金，</w:t>
      </w:r>
      <w:r>
        <w:rPr>
          <w:rFonts w:hint="eastAsia" w:cs="宋体" w:asciiTheme="minorEastAsia" w:hAnsiTheme="minorEastAsia"/>
          <w:color w:val="000000"/>
          <w:kern w:val="0"/>
          <w:sz w:val="24"/>
          <w:szCs w:val="24"/>
          <w:u w:val="single"/>
        </w:rPr>
        <w:t>如因政府原因</w:t>
      </w:r>
      <w:r>
        <w:rPr>
          <w:rFonts w:hint="eastAsia" w:cs="宋体" w:asciiTheme="minorEastAsia" w:hAnsiTheme="minorEastAsia"/>
          <w:color w:val="000000"/>
          <w:kern w:val="0"/>
          <w:sz w:val="24"/>
          <w:szCs w:val="24"/>
          <w:u w:val="single"/>
          <w:lang w:eastAsia="zh-CN"/>
        </w:rPr>
        <w:t>导致</w:t>
      </w:r>
      <w:r>
        <w:rPr>
          <w:rFonts w:hint="eastAsia" w:cs="宋体" w:asciiTheme="minorEastAsia" w:hAnsiTheme="minorEastAsia"/>
          <w:color w:val="000000"/>
          <w:kern w:val="0"/>
          <w:sz w:val="24"/>
          <w:szCs w:val="24"/>
          <w:u w:val="single"/>
        </w:rPr>
        <w:t>预算调整</w:t>
      </w:r>
      <w:r>
        <w:rPr>
          <w:rFonts w:hint="eastAsia" w:cs="宋体" w:asciiTheme="minorEastAsia" w:hAnsiTheme="minorEastAsia"/>
          <w:color w:val="000000"/>
          <w:kern w:val="0"/>
          <w:sz w:val="24"/>
          <w:szCs w:val="24"/>
          <w:u w:val="single"/>
          <w:lang w:eastAsia="zh-CN"/>
        </w:rPr>
        <w:t>，本项目</w:t>
      </w:r>
      <w:r>
        <w:rPr>
          <w:rFonts w:hint="eastAsia" w:cs="宋体" w:asciiTheme="minorEastAsia" w:hAnsiTheme="minorEastAsia"/>
          <w:color w:val="000000"/>
          <w:kern w:val="0"/>
          <w:sz w:val="24"/>
          <w:szCs w:val="24"/>
          <w:u w:val="single"/>
        </w:rPr>
        <w:t>将及时跟进</w:t>
      </w:r>
      <w:r>
        <w:rPr>
          <w:rFonts w:hint="eastAsia" w:cs="宋体" w:asciiTheme="minorEastAsia" w:hAnsiTheme="minorEastAsia"/>
          <w:color w:val="000000"/>
          <w:kern w:val="0"/>
          <w:sz w:val="24"/>
          <w:szCs w:val="24"/>
          <w:u w:val="single"/>
          <w:lang w:eastAsia="zh-CN"/>
        </w:rPr>
        <w:t>调整；如</w:t>
      </w:r>
      <w:r>
        <w:rPr>
          <w:rFonts w:hint="eastAsia" w:cs="宋体" w:asciiTheme="minorEastAsia" w:hAnsiTheme="minorEastAsia"/>
          <w:color w:val="000000"/>
          <w:kern w:val="0"/>
          <w:sz w:val="24"/>
          <w:szCs w:val="24"/>
          <w:u w:val="single"/>
        </w:rPr>
        <w:t xml:space="preserve">采购人需追加与合同标的相同的货物、工程或者服务的，在不改变合同其他条款的前提下，可以与供应商协商签订补充合同，但所有补充合同的采购金额不得超过原合同采购金额的百分之十。 </w:t>
      </w:r>
    </w:p>
    <w:p w14:paraId="0B7B753B">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（5）因质疑投诉影响采购进度应对措施：</w:t>
      </w:r>
      <w:r>
        <w:rPr>
          <w:rFonts w:hint="eastAsia" w:cs="宋体" w:asciiTheme="minorEastAsia" w:hAnsiTheme="minorEastAsia"/>
          <w:color w:val="000000"/>
          <w:kern w:val="0"/>
          <w:sz w:val="24"/>
          <w:szCs w:val="24"/>
          <w:u w:val="single"/>
        </w:rPr>
        <w:t xml:space="preserve"> </w:t>
      </w:r>
      <w:r>
        <w:rPr>
          <w:rFonts w:hint="eastAsia" w:cs="宋体" w:asciiTheme="minorEastAsia" w:hAnsiTheme="minorEastAsia"/>
          <w:color w:val="000000"/>
          <w:kern w:val="0"/>
          <w:sz w:val="24"/>
          <w:szCs w:val="24"/>
          <w:u w:val="single"/>
          <w:lang w:val="en-US" w:eastAsia="zh-CN"/>
        </w:rPr>
        <w:t>按照《政府采购质疑和投诉办法》规定执行。</w:t>
      </w:r>
      <w:r>
        <w:rPr>
          <w:rFonts w:hint="eastAsia" w:cs="宋体" w:asciiTheme="minorEastAsia" w:hAnsiTheme="minorEastAsia"/>
          <w:color w:val="000000"/>
          <w:kern w:val="0"/>
          <w:sz w:val="24"/>
          <w:szCs w:val="24"/>
          <w:u w:val="single"/>
        </w:rPr>
        <w:t xml:space="preserve"> </w:t>
      </w:r>
    </w:p>
    <w:p w14:paraId="6AAEC867">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（6）采购失败应对措施：</w:t>
      </w:r>
      <w:r>
        <w:rPr>
          <w:rFonts w:hint="eastAsia" w:cs="宋体" w:asciiTheme="minorEastAsia" w:hAnsiTheme="minorEastAsia"/>
          <w:color w:val="000000"/>
          <w:kern w:val="0"/>
          <w:sz w:val="24"/>
          <w:szCs w:val="24"/>
          <w:u w:val="single"/>
        </w:rPr>
        <w:t xml:space="preserve"> </w:t>
      </w:r>
      <w:r>
        <w:rPr>
          <w:rFonts w:hint="eastAsia" w:cs="宋体" w:asciiTheme="minorEastAsia" w:hAnsiTheme="minorEastAsia"/>
          <w:color w:val="000000"/>
          <w:kern w:val="0"/>
          <w:sz w:val="24"/>
          <w:szCs w:val="24"/>
          <w:u w:val="single"/>
          <w:lang w:val="en-US" w:eastAsia="zh-CN"/>
        </w:rPr>
        <w:t>依法组织重新招标</w:t>
      </w:r>
      <w:r>
        <w:rPr>
          <w:rFonts w:hint="eastAsia" w:cs="宋体" w:asciiTheme="minorEastAsia" w:hAnsiTheme="minorEastAsia"/>
          <w:color w:val="000000"/>
          <w:kern w:val="0"/>
          <w:sz w:val="24"/>
          <w:szCs w:val="24"/>
          <w:u w:val="single"/>
        </w:rPr>
        <w:t xml:space="preserve">   </w:t>
      </w:r>
    </w:p>
    <w:p w14:paraId="0C1BCDA6">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（7）不按规定签订或者履行合同应对措施：</w:t>
      </w:r>
      <w:r>
        <w:rPr>
          <w:rFonts w:hint="eastAsia" w:cs="宋体" w:asciiTheme="minorEastAsia" w:hAnsiTheme="minorEastAsia"/>
          <w:color w:val="000000"/>
          <w:kern w:val="0"/>
          <w:sz w:val="24"/>
          <w:szCs w:val="24"/>
          <w:u w:val="single"/>
        </w:rPr>
        <w:t xml:space="preserve"> </w:t>
      </w:r>
      <w:r>
        <w:rPr>
          <w:rFonts w:hint="eastAsia" w:cs="宋体" w:asciiTheme="minorEastAsia" w:hAnsiTheme="minorEastAsia"/>
          <w:color w:val="000000"/>
          <w:kern w:val="0"/>
          <w:sz w:val="24"/>
          <w:szCs w:val="24"/>
          <w:u w:val="single"/>
          <w:lang w:val="en-US" w:eastAsia="zh-CN"/>
        </w:rPr>
        <w:t>按政府采购相关法规规定予以处理；</w:t>
      </w:r>
      <w:r>
        <w:rPr>
          <w:rFonts w:hint="eastAsia" w:cs="宋体" w:asciiTheme="minorEastAsia" w:hAnsiTheme="minorEastAsia"/>
          <w:color w:val="000000"/>
          <w:kern w:val="0"/>
          <w:sz w:val="24"/>
          <w:szCs w:val="24"/>
          <w:u w:val="single"/>
        </w:rPr>
        <w:t>按照评审报告推荐的中标候选人名单排序，确定下一候选人为中标供应商，</w:t>
      </w:r>
      <w:r>
        <w:rPr>
          <w:rFonts w:hint="eastAsia" w:cs="宋体" w:asciiTheme="minorEastAsia" w:hAnsiTheme="minorEastAsia"/>
          <w:color w:val="000000"/>
          <w:kern w:val="0"/>
          <w:sz w:val="24"/>
          <w:szCs w:val="24"/>
          <w:u w:val="single"/>
          <w:lang w:val="en-US" w:eastAsia="zh-CN"/>
        </w:rPr>
        <w:t>或</w:t>
      </w:r>
      <w:r>
        <w:rPr>
          <w:rFonts w:hint="eastAsia" w:cs="宋体" w:asciiTheme="minorEastAsia" w:hAnsiTheme="minorEastAsia"/>
          <w:color w:val="000000"/>
          <w:kern w:val="0"/>
          <w:sz w:val="24"/>
          <w:szCs w:val="24"/>
          <w:u w:val="single"/>
        </w:rPr>
        <w:t>重新开展政府采购活动</w:t>
      </w:r>
      <w:r>
        <w:rPr>
          <w:rFonts w:hint="eastAsia" w:cs="宋体" w:asciiTheme="minorEastAsia" w:hAnsiTheme="minorEastAsia"/>
          <w:color w:val="000000"/>
          <w:kern w:val="0"/>
          <w:sz w:val="24"/>
          <w:szCs w:val="24"/>
          <w:u w:val="single"/>
          <w:lang w:eastAsia="zh-CN"/>
        </w:rPr>
        <w:t>。</w:t>
      </w:r>
      <w:r>
        <w:rPr>
          <w:rFonts w:hint="eastAsia" w:cs="宋体" w:asciiTheme="minorEastAsia" w:hAnsiTheme="minorEastAsia"/>
          <w:color w:val="000000"/>
          <w:kern w:val="0"/>
          <w:sz w:val="24"/>
          <w:szCs w:val="24"/>
          <w:u w:val="single"/>
        </w:rPr>
        <w:t xml:space="preserve"> </w:t>
      </w:r>
    </w:p>
    <w:p w14:paraId="589BE22E">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（8）出现损害国家利益和社会公共利益情形应对措施：</w:t>
      </w:r>
    </w:p>
    <w:p w14:paraId="72D47F65">
      <w:pPr>
        <w:widowControl/>
        <w:ind w:firstLine="480" w:firstLineChars="200"/>
        <w:jc w:val="left"/>
        <w:rPr>
          <w:rFonts w:cs="宋体" w:asciiTheme="minorEastAsia" w:hAnsiTheme="minorEastAsia"/>
          <w:color w:val="000000"/>
          <w:kern w:val="0"/>
          <w:sz w:val="24"/>
          <w:szCs w:val="24"/>
          <w:u w:val="single"/>
        </w:rPr>
      </w:pPr>
      <w:r>
        <w:rPr>
          <w:rFonts w:hint="eastAsia" w:cs="宋体" w:asciiTheme="minorEastAsia" w:hAnsiTheme="minorEastAsia"/>
          <w:color w:val="000000"/>
          <w:kern w:val="0"/>
          <w:sz w:val="24"/>
          <w:szCs w:val="24"/>
          <w:u w:val="single"/>
        </w:rPr>
        <w:t xml:space="preserve"> 及时向采购监督管理部门上报。</w:t>
      </w:r>
      <w:r>
        <w:rPr>
          <w:rFonts w:hint="eastAsia" w:cs="宋体" w:asciiTheme="minorEastAsia" w:hAnsiTheme="minorEastAsia"/>
          <w:color w:val="000000"/>
          <w:kern w:val="0"/>
          <w:sz w:val="24"/>
          <w:szCs w:val="24"/>
          <w:u w:val="single"/>
          <w:lang w:eastAsia="zh-CN"/>
        </w:rPr>
        <w:t>视情况</w:t>
      </w:r>
      <w:r>
        <w:rPr>
          <w:rFonts w:hint="eastAsia" w:cs="宋体" w:asciiTheme="minorEastAsia" w:hAnsiTheme="minorEastAsia"/>
          <w:color w:val="000000"/>
          <w:kern w:val="0"/>
          <w:sz w:val="24"/>
          <w:szCs w:val="24"/>
          <w:u w:val="single"/>
          <w:lang w:val="en-US" w:eastAsia="zh-CN"/>
        </w:rPr>
        <w:t>终止合同、依法报送公安机关处理或并组织重新采购。</w:t>
      </w:r>
      <w:r>
        <w:rPr>
          <w:rFonts w:hint="eastAsia" w:cs="宋体" w:asciiTheme="minorEastAsia" w:hAnsiTheme="minorEastAsia"/>
          <w:color w:val="000000"/>
          <w:kern w:val="0"/>
          <w:sz w:val="24"/>
          <w:szCs w:val="24"/>
          <w:u w:val="single"/>
        </w:rPr>
        <w:t xml:space="preserve"> </w:t>
      </w:r>
    </w:p>
    <w:p w14:paraId="0FC1F73E">
      <w:pPr>
        <w:widowControl/>
        <w:jc w:val="left"/>
        <w:rPr>
          <w:rFonts w:ascii="仿宋" w:hAnsi="仿宋" w:eastAsia="仿宋" w:cs="宋体"/>
          <w:color w:val="000000"/>
          <w:kern w:val="0"/>
          <w:sz w:val="27"/>
          <w:szCs w:val="27"/>
          <w:shd w:val="clear" w:color="auto" w:fill="FFFFFF"/>
        </w:rPr>
      </w:pPr>
    </w:p>
    <w:p w14:paraId="42EAB194">
      <w:pPr>
        <w:widowControl/>
        <w:jc w:val="left"/>
        <w:rPr>
          <w:rFonts w:ascii="仿宋" w:hAnsi="仿宋" w:eastAsia="仿宋" w:cs="宋体"/>
          <w:color w:val="000000"/>
          <w:kern w:val="0"/>
          <w:sz w:val="27"/>
          <w:szCs w:val="27"/>
        </w:rPr>
      </w:pPr>
      <w:r>
        <w:rPr>
          <w:rFonts w:ascii="仿宋" w:hAnsi="仿宋" w:eastAsia="仿宋" w:cs="宋体"/>
          <w:color w:val="000000"/>
          <w:kern w:val="0"/>
          <w:sz w:val="27"/>
          <w:szCs w:val="27"/>
        </w:rPr>
        <w:br w:type="page"/>
      </w:r>
    </w:p>
    <w:p w14:paraId="02C8CA6E">
      <w:pPr>
        <w:widowControl/>
        <w:jc w:val="center"/>
        <w:rPr>
          <w:rFonts w:ascii="仿宋" w:hAnsi="仿宋" w:eastAsia="仿宋" w:cs="宋体"/>
          <w:color w:val="000000"/>
          <w:kern w:val="0"/>
          <w:sz w:val="27"/>
          <w:szCs w:val="27"/>
        </w:rPr>
      </w:pPr>
    </w:p>
    <w:p w14:paraId="58531BC6">
      <w:pPr>
        <w:widowControl/>
        <w:jc w:val="center"/>
        <w:rPr>
          <w:rFonts w:ascii="仿宋" w:hAnsi="仿宋" w:eastAsia="仿宋" w:cs="宋体"/>
          <w:color w:val="000000"/>
          <w:kern w:val="0"/>
          <w:sz w:val="27"/>
          <w:szCs w:val="27"/>
        </w:rPr>
      </w:pPr>
    </w:p>
    <w:p w14:paraId="7112B1FF">
      <w:pPr>
        <w:widowControl/>
        <w:jc w:val="center"/>
        <w:rPr>
          <w:rFonts w:ascii="仿宋" w:hAnsi="仿宋" w:eastAsia="仿宋" w:cs="宋体"/>
          <w:color w:val="000000"/>
          <w:kern w:val="0"/>
          <w:sz w:val="27"/>
          <w:szCs w:val="27"/>
        </w:rPr>
      </w:pPr>
    </w:p>
    <w:p w14:paraId="1CC798A7">
      <w:pPr>
        <w:widowControl/>
        <w:jc w:val="center"/>
        <w:rPr>
          <w:rFonts w:ascii="仿宋" w:hAnsi="仿宋" w:eastAsia="仿宋" w:cs="宋体"/>
          <w:color w:val="000000"/>
          <w:kern w:val="0"/>
          <w:sz w:val="27"/>
          <w:szCs w:val="27"/>
        </w:rPr>
      </w:pPr>
    </w:p>
    <w:p w14:paraId="5E88C524">
      <w:pPr>
        <w:widowControl/>
        <w:jc w:val="center"/>
        <w:rPr>
          <w:rFonts w:ascii="仿宋" w:hAnsi="仿宋" w:eastAsia="仿宋" w:cs="宋体"/>
          <w:color w:val="000000"/>
          <w:kern w:val="0"/>
          <w:sz w:val="27"/>
          <w:szCs w:val="27"/>
        </w:rPr>
      </w:pPr>
    </w:p>
    <w:p w14:paraId="6D3940A9">
      <w:pPr>
        <w:widowControl/>
        <w:spacing w:line="360" w:lineRule="auto"/>
        <w:jc w:val="center"/>
        <w:rPr>
          <w:rFonts w:ascii="仿宋" w:hAnsi="仿宋" w:eastAsia="仿宋" w:cs="宋体"/>
          <w:b/>
          <w:color w:val="000000"/>
          <w:kern w:val="0"/>
          <w:sz w:val="48"/>
          <w:szCs w:val="27"/>
        </w:rPr>
      </w:pPr>
      <w:r>
        <w:rPr>
          <w:rFonts w:ascii="仿宋" w:hAnsi="仿宋" w:eastAsia="仿宋" w:cs="宋体"/>
          <w:b/>
          <w:color w:val="000000"/>
          <w:kern w:val="0"/>
          <w:sz w:val="48"/>
          <w:szCs w:val="27"/>
        </w:rPr>
        <w:t>政 府 采 购 项 目</w:t>
      </w:r>
    </w:p>
    <w:p w14:paraId="28065639">
      <w:pPr>
        <w:widowControl/>
        <w:spacing w:line="360" w:lineRule="auto"/>
        <w:jc w:val="center"/>
        <w:rPr>
          <w:rFonts w:ascii="仿宋" w:hAnsi="仿宋" w:eastAsia="仿宋" w:cs="宋体"/>
          <w:b/>
          <w:color w:val="000000"/>
          <w:kern w:val="0"/>
          <w:sz w:val="48"/>
          <w:szCs w:val="27"/>
        </w:rPr>
      </w:pPr>
      <w:r>
        <w:rPr>
          <w:rFonts w:ascii="仿宋" w:hAnsi="仿宋" w:eastAsia="仿宋" w:cs="宋体"/>
          <w:b/>
          <w:color w:val="000000"/>
          <w:kern w:val="0"/>
          <w:sz w:val="48"/>
          <w:szCs w:val="27"/>
        </w:rPr>
        <w:t>采购需求和采购实施计划</w:t>
      </w:r>
    </w:p>
    <w:p w14:paraId="625D4FAA">
      <w:pPr>
        <w:widowControl/>
        <w:spacing w:line="360" w:lineRule="auto"/>
        <w:jc w:val="center"/>
        <w:rPr>
          <w:rFonts w:ascii="仿宋" w:hAnsi="仿宋" w:eastAsia="仿宋" w:cs="宋体"/>
          <w:b/>
          <w:color w:val="000000"/>
          <w:kern w:val="0"/>
          <w:sz w:val="48"/>
          <w:szCs w:val="27"/>
        </w:rPr>
      </w:pPr>
      <w:r>
        <w:rPr>
          <w:rFonts w:ascii="仿宋" w:hAnsi="仿宋" w:eastAsia="仿宋" w:cs="宋体"/>
          <w:b/>
          <w:color w:val="000000"/>
          <w:kern w:val="0"/>
          <w:sz w:val="48"/>
          <w:szCs w:val="27"/>
        </w:rPr>
        <w:t>一般性审查意见书</w:t>
      </w:r>
    </w:p>
    <w:p w14:paraId="15A8782B">
      <w:pPr>
        <w:widowControl/>
        <w:jc w:val="center"/>
        <w:rPr>
          <w:rFonts w:ascii="仿宋" w:hAnsi="仿宋" w:eastAsia="仿宋" w:cs="宋体"/>
          <w:color w:val="000000"/>
          <w:kern w:val="0"/>
          <w:sz w:val="27"/>
          <w:szCs w:val="27"/>
        </w:rPr>
      </w:pPr>
    </w:p>
    <w:p w14:paraId="072744D8">
      <w:pPr>
        <w:widowControl/>
        <w:jc w:val="center"/>
        <w:rPr>
          <w:rFonts w:ascii="仿宋" w:hAnsi="仿宋" w:eastAsia="仿宋" w:cs="宋体"/>
          <w:color w:val="000000"/>
          <w:kern w:val="0"/>
          <w:sz w:val="27"/>
          <w:szCs w:val="27"/>
        </w:rPr>
      </w:pPr>
    </w:p>
    <w:p w14:paraId="2D6ABEE5">
      <w:pPr>
        <w:widowControl/>
        <w:jc w:val="center"/>
        <w:rPr>
          <w:rFonts w:ascii="仿宋" w:hAnsi="仿宋" w:eastAsia="仿宋" w:cs="宋体"/>
          <w:color w:val="000000"/>
          <w:kern w:val="0"/>
          <w:sz w:val="27"/>
          <w:szCs w:val="27"/>
        </w:rPr>
      </w:pPr>
    </w:p>
    <w:p w14:paraId="272E46A7">
      <w:pPr>
        <w:widowControl/>
        <w:jc w:val="center"/>
        <w:rPr>
          <w:rFonts w:ascii="仿宋" w:hAnsi="仿宋" w:eastAsia="仿宋" w:cs="宋体"/>
          <w:color w:val="000000"/>
          <w:kern w:val="0"/>
          <w:sz w:val="27"/>
          <w:szCs w:val="27"/>
        </w:rPr>
      </w:pPr>
    </w:p>
    <w:p w14:paraId="6E396AEF">
      <w:pPr>
        <w:widowControl/>
        <w:jc w:val="center"/>
        <w:rPr>
          <w:rFonts w:ascii="仿宋" w:hAnsi="仿宋" w:eastAsia="仿宋" w:cs="宋体"/>
          <w:color w:val="000000"/>
          <w:kern w:val="0"/>
          <w:sz w:val="27"/>
          <w:szCs w:val="27"/>
        </w:rPr>
      </w:pPr>
    </w:p>
    <w:p w14:paraId="1B35ADDC">
      <w:pPr>
        <w:widowControl/>
        <w:jc w:val="center"/>
        <w:rPr>
          <w:rFonts w:ascii="仿宋" w:hAnsi="仿宋" w:eastAsia="仿宋" w:cs="宋体"/>
          <w:color w:val="000000"/>
          <w:kern w:val="0"/>
          <w:sz w:val="27"/>
          <w:szCs w:val="27"/>
        </w:rPr>
      </w:pPr>
    </w:p>
    <w:p w14:paraId="6F7E4852">
      <w:pPr>
        <w:widowControl/>
        <w:jc w:val="center"/>
        <w:rPr>
          <w:rFonts w:ascii="仿宋" w:hAnsi="仿宋" w:eastAsia="仿宋" w:cs="宋体"/>
          <w:color w:val="000000"/>
          <w:kern w:val="0"/>
          <w:sz w:val="27"/>
          <w:szCs w:val="27"/>
        </w:rPr>
      </w:pPr>
    </w:p>
    <w:p w14:paraId="3C160729">
      <w:pPr>
        <w:widowControl/>
        <w:ind w:left="1558" w:leftChars="742"/>
        <w:jc w:val="left"/>
        <w:rPr>
          <w:rFonts w:ascii="仿宋" w:hAnsi="仿宋" w:eastAsia="仿宋" w:cs="宋体"/>
          <w:color w:val="000000"/>
          <w:kern w:val="0"/>
          <w:sz w:val="24"/>
          <w:szCs w:val="24"/>
        </w:rPr>
      </w:pPr>
      <w:r>
        <w:rPr>
          <w:rFonts w:ascii="仿宋" w:hAnsi="仿宋" w:eastAsia="仿宋" w:cs="宋体"/>
          <w:color w:val="000000"/>
          <w:kern w:val="0"/>
          <w:sz w:val="27"/>
          <w:szCs w:val="27"/>
        </w:rPr>
        <w:t>项 目 名 称：</w:t>
      </w:r>
      <w:r>
        <w:rPr>
          <w:rFonts w:hint="eastAsia" w:ascii="宋体" w:hAnsi="宋体" w:eastAsia="宋体" w:cs="宋体"/>
          <w:color w:val="000000"/>
          <w:kern w:val="0"/>
          <w:sz w:val="27"/>
          <w:szCs w:val="27"/>
          <w:u w:val="single"/>
        </w:rPr>
        <w:t xml:space="preserve"> </w:t>
      </w:r>
      <w:r>
        <w:rPr>
          <w:rFonts w:hint="eastAsia" w:ascii="宋体" w:hAnsi="宋体" w:eastAsia="宋体" w:cs="宋体"/>
          <w:sz w:val="27"/>
          <w:szCs w:val="27"/>
          <w:highlight w:val="none"/>
          <w:u w:val="single"/>
        </w:rPr>
        <w:t>2026年塘厦镇鼎湖科技园周边道路安装交通信号灯、电子监控抓拍设备建设项目</w:t>
      </w:r>
      <w:r>
        <w:rPr>
          <w:rFonts w:hint="eastAsia" w:ascii="宋体" w:hAnsi="宋体" w:eastAsia="宋体" w:cs="宋体"/>
          <w:color w:val="000000"/>
          <w:kern w:val="0"/>
          <w:sz w:val="27"/>
          <w:szCs w:val="27"/>
          <w:u w:val="single"/>
        </w:rPr>
        <w:t xml:space="preserve"> </w:t>
      </w:r>
    </w:p>
    <w:p w14:paraId="59E5F2B1">
      <w:pPr>
        <w:widowControl/>
        <w:ind w:left="1558" w:leftChars="742"/>
        <w:jc w:val="left"/>
        <w:rPr>
          <w:rFonts w:ascii="仿宋" w:hAnsi="仿宋" w:eastAsia="仿宋" w:cs="宋体"/>
          <w:color w:val="000000"/>
          <w:kern w:val="0"/>
          <w:sz w:val="24"/>
          <w:szCs w:val="24"/>
        </w:rPr>
      </w:pPr>
      <w:r>
        <w:rPr>
          <w:rFonts w:ascii="仿宋" w:hAnsi="仿宋" w:eastAsia="仿宋" w:cs="宋体"/>
          <w:color w:val="000000"/>
          <w:kern w:val="0"/>
          <w:sz w:val="27"/>
          <w:szCs w:val="27"/>
        </w:rPr>
        <w:t>采 购 单 位：</w:t>
      </w:r>
      <w:r>
        <w:rPr>
          <w:rFonts w:hint="eastAsia" w:ascii="宋体" w:hAnsi="宋体" w:eastAsia="宋体" w:cs="宋体"/>
          <w:color w:val="000000"/>
          <w:kern w:val="0"/>
          <w:sz w:val="27"/>
          <w:szCs w:val="27"/>
          <w:u w:val="single"/>
        </w:rPr>
        <w:t xml:space="preserve"> </w:t>
      </w:r>
      <w:r>
        <w:rPr>
          <w:rFonts w:hint="eastAsia" w:ascii="宋体" w:hAnsi="宋体" w:eastAsia="宋体" w:cs="宋体"/>
          <w:color w:val="000000"/>
          <w:kern w:val="0"/>
          <w:sz w:val="27"/>
          <w:szCs w:val="27"/>
          <w:u w:val="single"/>
          <w:lang w:eastAsia="zh-CN"/>
        </w:rPr>
        <w:t>东莞市公安局交通管理支队塘厦大队</w:t>
      </w:r>
      <w:r>
        <w:rPr>
          <w:rFonts w:hint="eastAsia" w:ascii="宋体" w:hAnsi="宋体" w:eastAsia="宋体" w:cs="宋体"/>
          <w:color w:val="000000"/>
          <w:kern w:val="0"/>
          <w:sz w:val="27"/>
          <w:szCs w:val="27"/>
          <w:u w:val="single"/>
        </w:rPr>
        <w:t xml:space="preserve"> </w:t>
      </w:r>
    </w:p>
    <w:p w14:paraId="5836A752">
      <w:pPr>
        <w:widowControl/>
        <w:ind w:left="1558" w:leftChars="742"/>
        <w:jc w:val="left"/>
        <w:rPr>
          <w:rFonts w:ascii="仿宋" w:hAnsi="仿宋" w:eastAsia="仿宋" w:cs="宋体"/>
          <w:color w:val="000000"/>
          <w:kern w:val="0"/>
          <w:sz w:val="24"/>
          <w:szCs w:val="24"/>
        </w:rPr>
      </w:pPr>
      <w:r>
        <w:rPr>
          <w:rFonts w:ascii="仿宋" w:hAnsi="仿宋" w:eastAsia="仿宋" w:cs="宋体"/>
          <w:color w:val="000000"/>
          <w:kern w:val="0"/>
          <w:sz w:val="27"/>
          <w:szCs w:val="27"/>
        </w:rPr>
        <w:t>预算主管部门：</w:t>
      </w:r>
      <w:r>
        <w:rPr>
          <w:rFonts w:hint="eastAsia" w:ascii="宋体" w:hAnsi="宋体" w:eastAsia="宋体" w:cs="宋体"/>
          <w:color w:val="000000"/>
          <w:kern w:val="0"/>
          <w:sz w:val="27"/>
          <w:szCs w:val="27"/>
          <w:u w:val="single"/>
        </w:rPr>
        <w:t xml:space="preserve"> </w:t>
      </w:r>
      <w:r>
        <w:rPr>
          <w:rFonts w:hint="eastAsia" w:ascii="宋体" w:hAnsi="宋体" w:eastAsia="宋体" w:cs="宋体"/>
          <w:color w:val="000000"/>
          <w:kern w:val="0"/>
          <w:sz w:val="27"/>
          <w:szCs w:val="27"/>
          <w:u w:val="single"/>
          <w:lang w:val="en-US" w:eastAsia="zh-CN"/>
        </w:rPr>
        <w:t>东莞市财政局塘厦分局</w:t>
      </w:r>
      <w:r>
        <w:rPr>
          <w:rFonts w:hint="eastAsia" w:ascii="宋体" w:hAnsi="宋体" w:eastAsia="宋体" w:cs="宋体"/>
          <w:color w:val="000000"/>
          <w:kern w:val="0"/>
          <w:sz w:val="27"/>
          <w:szCs w:val="27"/>
          <w:u w:val="single"/>
        </w:rPr>
        <w:t xml:space="preserve"> </w:t>
      </w:r>
    </w:p>
    <w:p w14:paraId="07ABC34C">
      <w:pPr>
        <w:widowControl/>
        <w:ind w:left="1558" w:leftChars="742"/>
        <w:jc w:val="left"/>
        <w:rPr>
          <w:rFonts w:ascii="仿宋" w:hAnsi="仿宋" w:eastAsia="仿宋" w:cs="宋体"/>
          <w:color w:val="000000"/>
          <w:kern w:val="0"/>
          <w:sz w:val="24"/>
          <w:szCs w:val="24"/>
        </w:rPr>
      </w:pPr>
      <w:r>
        <w:rPr>
          <w:rFonts w:ascii="仿宋" w:hAnsi="仿宋" w:eastAsia="仿宋" w:cs="宋体"/>
          <w:color w:val="000000"/>
          <w:kern w:val="0"/>
          <w:sz w:val="27"/>
          <w:szCs w:val="27"/>
        </w:rPr>
        <w:t>审 查 时 间：</w:t>
      </w:r>
      <w:r>
        <w:rPr>
          <w:rFonts w:hint="eastAsia" w:ascii="宋体" w:hAnsi="宋体" w:eastAsia="宋体" w:cs="宋体"/>
          <w:color w:val="000000"/>
          <w:kern w:val="0"/>
          <w:sz w:val="27"/>
          <w:szCs w:val="27"/>
          <w:u w:val="single"/>
        </w:rPr>
        <w:t xml:space="preserve">  </w:t>
      </w:r>
      <w:r>
        <w:rPr>
          <w:rFonts w:hint="eastAsia" w:ascii="宋体" w:hAnsi="宋体" w:eastAsia="宋体" w:cs="宋体"/>
          <w:color w:val="000000"/>
          <w:kern w:val="0"/>
          <w:sz w:val="27"/>
          <w:szCs w:val="27"/>
          <w:u w:val="single"/>
          <w:lang w:val="en-US" w:eastAsia="zh-CN"/>
        </w:rPr>
        <w:t>2026年1月</w:t>
      </w:r>
      <w:r>
        <w:rPr>
          <w:rFonts w:hint="eastAsia" w:ascii="宋体" w:hAnsi="宋体" w:eastAsia="宋体" w:cs="宋体"/>
          <w:color w:val="000000"/>
          <w:kern w:val="0"/>
          <w:sz w:val="27"/>
          <w:szCs w:val="27"/>
          <w:u w:val="single"/>
        </w:rPr>
        <w:t xml:space="preserve"> </w:t>
      </w:r>
    </w:p>
    <w:p w14:paraId="6BB955E0">
      <w:pPr>
        <w:widowControl/>
        <w:jc w:val="left"/>
        <w:rPr>
          <w:rFonts w:ascii="宋体" w:hAnsi="宋体" w:eastAsia="宋体" w:cs="宋体"/>
          <w:color w:val="000000"/>
          <w:kern w:val="0"/>
          <w:sz w:val="27"/>
          <w:szCs w:val="27"/>
        </w:rPr>
      </w:pPr>
    </w:p>
    <w:p w14:paraId="20A6E907">
      <w:pPr>
        <w:widowControl/>
        <w:jc w:val="left"/>
        <w:rPr>
          <w:rFonts w:ascii="仿宋" w:hAnsi="仿宋" w:eastAsia="仿宋" w:cs="宋体"/>
          <w:kern w:val="0"/>
          <w:sz w:val="24"/>
          <w:szCs w:val="24"/>
        </w:rPr>
      </w:pPr>
    </w:p>
    <w:p w14:paraId="5F137E09">
      <w:pPr>
        <w:widowControl/>
        <w:jc w:val="left"/>
        <w:rPr>
          <w:rFonts w:ascii="仿宋" w:hAnsi="仿宋" w:eastAsia="仿宋" w:cs="宋体"/>
          <w:color w:val="000000"/>
          <w:kern w:val="0"/>
          <w:sz w:val="27"/>
          <w:szCs w:val="27"/>
        </w:rPr>
      </w:pPr>
      <w:r>
        <w:rPr>
          <w:rFonts w:ascii="仿宋" w:hAnsi="仿宋" w:eastAsia="仿宋" w:cs="宋体"/>
          <w:color w:val="000000"/>
          <w:kern w:val="0"/>
          <w:sz w:val="27"/>
          <w:szCs w:val="27"/>
        </w:rPr>
        <w:br w:type="page"/>
      </w:r>
    </w:p>
    <w:p w14:paraId="1F6BCC60">
      <w:pPr>
        <w:widowControl/>
        <w:jc w:val="center"/>
        <w:rPr>
          <w:rFonts w:cs="宋体" w:asciiTheme="minorEastAsia" w:hAnsiTheme="minorEastAsia"/>
          <w:b/>
          <w:color w:val="000000"/>
          <w:kern w:val="0"/>
          <w:sz w:val="24"/>
          <w:szCs w:val="24"/>
        </w:rPr>
      </w:pPr>
      <w:r>
        <w:rPr>
          <w:rFonts w:cs="宋体" w:asciiTheme="minorEastAsia" w:hAnsiTheme="minorEastAsia"/>
          <w:b/>
          <w:color w:val="000000"/>
          <w:kern w:val="0"/>
          <w:sz w:val="24"/>
          <w:szCs w:val="24"/>
        </w:rPr>
        <w:t>审 查 说 明</w:t>
      </w:r>
    </w:p>
    <w:p w14:paraId="52C270BC">
      <w:pPr>
        <w:widowControl/>
        <w:spacing w:line="360" w:lineRule="auto"/>
        <w:ind w:firstLine="480" w:firstLineChars="200"/>
        <w:jc w:val="left"/>
        <w:rPr>
          <w:rFonts w:cs="宋体" w:asciiTheme="minorEastAsia" w:hAnsiTheme="minorEastAsia"/>
          <w:color w:val="000000"/>
          <w:kern w:val="0"/>
          <w:sz w:val="24"/>
          <w:szCs w:val="24"/>
        </w:rPr>
      </w:pPr>
    </w:p>
    <w:p w14:paraId="0F461F00">
      <w:pPr>
        <w:widowControl/>
        <w:spacing w:line="360" w:lineRule="auto"/>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一、采购人应当建立审查工作机制，在采购活动开始前，针对采购需求管理中的重点风险事项，对采购需求和采购实施计划进行审查。</w:t>
      </w:r>
    </w:p>
    <w:p w14:paraId="18D401F2">
      <w:pPr>
        <w:widowControl/>
        <w:spacing w:line="360" w:lineRule="auto"/>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二、一般性审查的具体采购项目范围，由采购人根据实际情况确定。</w:t>
      </w:r>
    </w:p>
    <w:p w14:paraId="463B4BAF">
      <w:pPr>
        <w:widowControl/>
        <w:spacing w:line="360" w:lineRule="auto"/>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三、审查应当符合《财政部关于印发政府采购需求管理办法的通知》（财库〔2021〕22号）要求及政府采购的相关规定。</w:t>
      </w:r>
    </w:p>
    <w:p w14:paraId="2DEBA246">
      <w:pPr>
        <w:widowControl/>
        <w:spacing w:line="360" w:lineRule="auto"/>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四、对于审查不通过的，应当修改采购需求和采购实施计划的内容并重新进行审查。</w:t>
      </w:r>
    </w:p>
    <w:p w14:paraId="06ADE1FD">
      <w:pPr>
        <w:widowControl/>
        <w:spacing w:line="360" w:lineRule="auto"/>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五、斜体字部分属于提醒内容，编制时应删除。</w:t>
      </w:r>
    </w:p>
    <w:p w14:paraId="06489F2D">
      <w:pPr>
        <w:widowControl/>
        <w:spacing w:line="360" w:lineRule="auto"/>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六、对不适用的内容应删除，并调整相应序号。</w:t>
      </w:r>
    </w:p>
    <w:p w14:paraId="2FFF75FA">
      <w:pPr>
        <w:widowControl/>
        <w:jc w:val="left"/>
        <w:rPr>
          <w:rFonts w:cs="宋体" w:asciiTheme="minorEastAsia" w:hAnsiTheme="minorEastAsia"/>
          <w:color w:val="000000"/>
          <w:kern w:val="0"/>
          <w:sz w:val="24"/>
          <w:szCs w:val="24"/>
          <w:shd w:val="clear" w:color="auto" w:fill="FFFFFF"/>
        </w:rPr>
      </w:pPr>
    </w:p>
    <w:p w14:paraId="34C7B6E4">
      <w:pPr>
        <w:widowControl/>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br w:type="page"/>
      </w:r>
    </w:p>
    <w:p w14:paraId="3B973FCF">
      <w:pPr>
        <w:widowControl/>
        <w:ind w:firstLine="482" w:firstLineChars="200"/>
        <w:jc w:val="left"/>
        <w:rPr>
          <w:rFonts w:cs="宋体" w:asciiTheme="minorEastAsia" w:hAnsiTheme="minorEastAsia"/>
          <w:b/>
          <w:color w:val="000000"/>
          <w:kern w:val="0"/>
          <w:sz w:val="24"/>
          <w:szCs w:val="24"/>
        </w:rPr>
      </w:pPr>
      <w:r>
        <w:rPr>
          <w:rFonts w:cs="宋体" w:asciiTheme="minorEastAsia" w:hAnsiTheme="minorEastAsia"/>
          <w:b/>
          <w:color w:val="000000"/>
          <w:kern w:val="0"/>
          <w:sz w:val="24"/>
          <w:szCs w:val="24"/>
        </w:rPr>
        <w:t>一、审查项目情况</w:t>
      </w:r>
    </w:p>
    <w:p w14:paraId="6BF829FB">
      <w:pPr>
        <w:widowControl/>
        <w:spacing w:line="240" w:lineRule="auto"/>
        <w:ind w:firstLine="482" w:firstLineChars="200"/>
        <w:jc w:val="left"/>
        <w:rPr>
          <w:rFonts w:cs="宋体" w:asciiTheme="minorEastAsia" w:hAnsiTheme="minorEastAsia"/>
          <w:color w:val="000000"/>
          <w:kern w:val="0"/>
          <w:sz w:val="24"/>
          <w:szCs w:val="24"/>
        </w:rPr>
      </w:pPr>
      <w:r>
        <w:rPr>
          <w:rFonts w:hint="eastAsia" w:cs="宋体" w:asciiTheme="minorEastAsia" w:hAnsiTheme="minorEastAsia"/>
          <w:b/>
          <w:color w:val="000000"/>
          <w:kern w:val="0"/>
          <w:sz w:val="24"/>
          <w:szCs w:val="24"/>
        </w:rPr>
        <w:t>（一）审查项目</w:t>
      </w:r>
      <w:r>
        <w:rPr>
          <w:rFonts w:hint="eastAsia" w:cs="宋体" w:asciiTheme="minorEastAsia" w:hAnsiTheme="minorEastAsia"/>
          <w:b/>
          <w:bCs w:val="0"/>
          <w:color w:val="000000"/>
          <w:kern w:val="0"/>
          <w:sz w:val="24"/>
          <w:szCs w:val="24"/>
        </w:rPr>
        <w:t>名称</w:t>
      </w:r>
      <w:r>
        <w:rPr>
          <w:rFonts w:hint="eastAsia" w:cs="宋体" w:asciiTheme="minorEastAsia" w:hAnsiTheme="minorEastAsia"/>
          <w:color w:val="000000"/>
          <w:kern w:val="0"/>
          <w:sz w:val="24"/>
          <w:szCs w:val="24"/>
        </w:rPr>
        <w:t>：</w:t>
      </w:r>
      <w:r>
        <w:rPr>
          <w:rFonts w:hint="eastAsia" w:cs="宋体" w:asciiTheme="minorEastAsia" w:hAnsiTheme="minorEastAsia"/>
          <w:color w:val="000000"/>
          <w:kern w:val="0"/>
          <w:sz w:val="24"/>
          <w:szCs w:val="24"/>
          <w:u w:val="single"/>
        </w:rPr>
        <w:t xml:space="preserve"> </w:t>
      </w:r>
      <w:r>
        <w:rPr>
          <w:rFonts w:hint="eastAsia" w:ascii="宋体" w:hAnsi="宋体" w:eastAsia="宋体" w:cs="宋体"/>
          <w:sz w:val="24"/>
          <w:szCs w:val="24"/>
          <w:highlight w:val="none"/>
          <w:u w:val="single"/>
        </w:rPr>
        <w:t>2026年塘厦镇鼎湖科技园周边道路安装交通信号灯、电子监控抓拍设备建设项目</w:t>
      </w:r>
      <w:r>
        <w:rPr>
          <w:rFonts w:hint="eastAsia" w:cs="宋体" w:asciiTheme="minorEastAsia" w:hAnsiTheme="minorEastAsia"/>
          <w:color w:val="000000"/>
          <w:kern w:val="0"/>
          <w:sz w:val="24"/>
          <w:szCs w:val="24"/>
          <w:u w:val="single"/>
        </w:rPr>
        <w:t xml:space="preserve"> </w:t>
      </w:r>
    </w:p>
    <w:p w14:paraId="1D0E0BF3">
      <w:pPr>
        <w:widowControl/>
        <w:ind w:firstLine="482" w:firstLineChars="200"/>
        <w:jc w:val="left"/>
        <w:rPr>
          <w:rFonts w:cs="宋体" w:asciiTheme="minorEastAsia" w:hAnsiTheme="minorEastAsia"/>
          <w:b/>
          <w:color w:val="000000"/>
          <w:kern w:val="0"/>
          <w:sz w:val="24"/>
          <w:szCs w:val="24"/>
        </w:rPr>
      </w:pPr>
      <w:r>
        <w:rPr>
          <w:rFonts w:cs="宋体" w:asciiTheme="minorEastAsia" w:hAnsiTheme="minorEastAsia"/>
          <w:b/>
          <w:color w:val="000000"/>
          <w:kern w:val="0"/>
          <w:sz w:val="24"/>
          <w:szCs w:val="24"/>
        </w:rPr>
        <w:t>（二）审查对象：</w:t>
      </w:r>
    </w:p>
    <w:p w14:paraId="20B0E9EA">
      <w:pPr>
        <w:widowControl/>
        <w:ind w:firstLine="480" w:firstLineChars="20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1.采购需求</w:t>
      </w:r>
    </w:p>
    <w:p w14:paraId="2CA7D0D5">
      <w:pPr>
        <w:widowControl/>
        <w:ind w:firstLine="480" w:firstLineChars="200"/>
        <w:jc w:val="left"/>
        <w:rPr>
          <w:rFonts w:cs="宋体" w:asciiTheme="minorEastAsia" w:hAnsiTheme="minorEastAsia"/>
          <w:color w:val="000000"/>
          <w:kern w:val="0"/>
          <w:sz w:val="24"/>
          <w:szCs w:val="24"/>
          <w:u w:val="single"/>
        </w:rPr>
      </w:pPr>
      <w:r>
        <w:rPr>
          <w:rFonts w:hint="eastAsia" w:cs="宋体" w:asciiTheme="minorEastAsia" w:hAnsiTheme="minorEastAsia"/>
          <w:color w:val="000000"/>
          <w:kern w:val="0"/>
          <w:sz w:val="24"/>
          <w:szCs w:val="24"/>
        </w:rPr>
        <w:t>（1）参与确定采购需求的专家、第三方机构：</w:t>
      </w:r>
      <w:r>
        <w:rPr>
          <w:rFonts w:hint="eastAsia" w:cs="宋体" w:asciiTheme="minorEastAsia" w:hAnsiTheme="minorEastAsia"/>
          <w:color w:val="000000"/>
          <w:kern w:val="0"/>
          <w:sz w:val="24"/>
          <w:szCs w:val="24"/>
          <w:u w:val="single"/>
        </w:rPr>
        <w:t xml:space="preserve"> </w:t>
      </w:r>
      <w:r>
        <w:rPr>
          <w:rFonts w:hint="eastAsia" w:cs="宋体" w:asciiTheme="minorEastAsia" w:hAnsiTheme="minorEastAsia"/>
          <w:color w:val="000000"/>
          <w:kern w:val="0"/>
          <w:sz w:val="24"/>
          <w:szCs w:val="24"/>
          <w:u w:val="single"/>
          <w:lang w:val="en-US" w:eastAsia="zh-CN"/>
        </w:rPr>
        <w:t>/</w:t>
      </w:r>
      <w:r>
        <w:rPr>
          <w:rFonts w:hint="eastAsia" w:cs="宋体" w:asciiTheme="minorEastAsia" w:hAnsiTheme="minorEastAsia"/>
          <w:color w:val="000000"/>
          <w:kern w:val="0"/>
          <w:sz w:val="24"/>
          <w:szCs w:val="24"/>
          <w:u w:val="single"/>
        </w:rPr>
        <w:t xml:space="preserve"> </w:t>
      </w:r>
    </w:p>
    <w:p w14:paraId="1154C7E4">
      <w:pPr>
        <w:widowControl/>
        <w:ind w:firstLine="480" w:firstLineChars="20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（2）采购需求版次：</w:t>
      </w:r>
      <w:r>
        <w:rPr>
          <w:rFonts w:hint="eastAsia" w:cs="宋体" w:asciiTheme="minorEastAsia" w:hAnsiTheme="minorEastAsia"/>
          <w:color w:val="000000"/>
          <w:kern w:val="0"/>
          <w:sz w:val="24"/>
          <w:szCs w:val="24"/>
          <w:u w:val="single"/>
        </w:rPr>
        <w:t>20</w:t>
      </w:r>
      <w:r>
        <w:rPr>
          <w:rFonts w:hint="eastAsia" w:cs="宋体" w:asciiTheme="minorEastAsia" w:hAnsiTheme="minorEastAsia"/>
          <w:color w:val="000000"/>
          <w:kern w:val="0"/>
          <w:sz w:val="24"/>
          <w:szCs w:val="24"/>
          <w:u w:val="single"/>
          <w:lang w:val="en-US" w:eastAsia="zh-CN"/>
        </w:rPr>
        <w:t>26</w:t>
      </w:r>
      <w:r>
        <w:rPr>
          <w:rFonts w:hint="eastAsia" w:cs="宋体" w:asciiTheme="minorEastAsia" w:hAnsiTheme="minorEastAsia"/>
          <w:color w:val="000000"/>
          <w:kern w:val="0"/>
          <w:sz w:val="24"/>
          <w:szCs w:val="24"/>
          <w:u w:val="single"/>
        </w:rPr>
        <w:t>年</w:t>
      </w:r>
      <w:r>
        <w:rPr>
          <w:rFonts w:hint="eastAsia" w:cs="宋体" w:asciiTheme="minorEastAsia" w:hAnsiTheme="minorEastAsia"/>
          <w:color w:val="000000"/>
          <w:kern w:val="0"/>
          <w:sz w:val="24"/>
          <w:szCs w:val="24"/>
          <w:u w:val="single"/>
          <w:lang w:val="en-US" w:eastAsia="zh-CN"/>
        </w:rPr>
        <w:t>01</w:t>
      </w:r>
      <w:r>
        <w:rPr>
          <w:rFonts w:hint="eastAsia" w:cs="宋体" w:asciiTheme="minorEastAsia" w:hAnsiTheme="minorEastAsia"/>
          <w:color w:val="000000"/>
          <w:kern w:val="0"/>
          <w:sz w:val="24"/>
          <w:szCs w:val="24"/>
          <w:u w:val="single"/>
        </w:rPr>
        <w:t>月（第</w:t>
      </w:r>
      <w:r>
        <w:rPr>
          <w:rFonts w:hint="eastAsia" w:cs="宋体" w:asciiTheme="minorEastAsia" w:hAnsiTheme="minorEastAsia"/>
          <w:color w:val="000000"/>
          <w:kern w:val="0"/>
          <w:sz w:val="24"/>
          <w:szCs w:val="24"/>
          <w:u w:val="single"/>
          <w:lang w:val="en-US" w:eastAsia="zh-CN"/>
        </w:rPr>
        <w:t>1</w:t>
      </w:r>
      <w:r>
        <w:rPr>
          <w:rFonts w:hint="eastAsia" w:cs="宋体" w:asciiTheme="minorEastAsia" w:hAnsiTheme="minorEastAsia"/>
          <w:color w:val="000000"/>
          <w:kern w:val="0"/>
          <w:sz w:val="24"/>
          <w:szCs w:val="24"/>
          <w:u w:val="single"/>
        </w:rPr>
        <w:t>版）</w:t>
      </w:r>
    </w:p>
    <w:p w14:paraId="58C296E8">
      <w:pPr>
        <w:widowControl/>
        <w:ind w:firstLine="480" w:firstLineChars="20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2.采购实施计划</w:t>
      </w:r>
    </w:p>
    <w:p w14:paraId="1C0687D1">
      <w:pPr>
        <w:widowControl/>
        <w:ind w:firstLine="480" w:firstLineChars="200"/>
        <w:jc w:val="left"/>
        <w:rPr>
          <w:rFonts w:cs="宋体" w:asciiTheme="minorEastAsia" w:hAnsiTheme="minorEastAsia"/>
          <w:color w:val="000000"/>
          <w:kern w:val="0"/>
          <w:sz w:val="24"/>
          <w:szCs w:val="24"/>
          <w:u w:val="single"/>
        </w:rPr>
      </w:pPr>
      <w:r>
        <w:rPr>
          <w:rFonts w:hint="eastAsia" w:cs="宋体" w:asciiTheme="minorEastAsia" w:hAnsiTheme="minorEastAsia"/>
          <w:color w:val="000000"/>
          <w:kern w:val="0"/>
          <w:sz w:val="24"/>
          <w:szCs w:val="24"/>
        </w:rPr>
        <w:t>（1）参与确定采购需求的专家、第三方机构：</w:t>
      </w:r>
      <w:r>
        <w:rPr>
          <w:rFonts w:hint="eastAsia" w:cs="宋体" w:asciiTheme="minorEastAsia" w:hAnsiTheme="minorEastAsia"/>
          <w:color w:val="000000"/>
          <w:kern w:val="0"/>
          <w:sz w:val="24"/>
          <w:szCs w:val="24"/>
          <w:u w:val="single"/>
        </w:rPr>
        <w:t xml:space="preserve"> </w:t>
      </w:r>
      <w:r>
        <w:rPr>
          <w:rFonts w:hint="eastAsia" w:cs="宋体" w:asciiTheme="minorEastAsia" w:hAnsiTheme="minorEastAsia"/>
          <w:color w:val="000000"/>
          <w:kern w:val="0"/>
          <w:sz w:val="24"/>
          <w:szCs w:val="24"/>
          <w:u w:val="single"/>
          <w:lang w:val="en-US" w:eastAsia="zh-CN"/>
        </w:rPr>
        <w:t>/</w:t>
      </w:r>
      <w:r>
        <w:rPr>
          <w:rFonts w:hint="eastAsia" w:cs="宋体" w:asciiTheme="minorEastAsia" w:hAnsiTheme="minorEastAsia"/>
          <w:color w:val="000000"/>
          <w:kern w:val="0"/>
          <w:sz w:val="24"/>
          <w:szCs w:val="24"/>
          <w:u w:val="single"/>
        </w:rPr>
        <w:t xml:space="preserve"> </w:t>
      </w:r>
    </w:p>
    <w:p w14:paraId="703FDA7F">
      <w:pPr>
        <w:widowControl/>
        <w:ind w:firstLine="480" w:firstLineChars="20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（2）采购需求版次：</w:t>
      </w:r>
      <w:r>
        <w:rPr>
          <w:rFonts w:hint="eastAsia" w:cs="宋体" w:asciiTheme="minorEastAsia" w:hAnsiTheme="minorEastAsia"/>
          <w:color w:val="000000"/>
          <w:kern w:val="0"/>
          <w:sz w:val="24"/>
          <w:szCs w:val="24"/>
          <w:u w:val="single"/>
        </w:rPr>
        <w:t>20</w:t>
      </w:r>
      <w:r>
        <w:rPr>
          <w:rFonts w:hint="eastAsia" w:cs="宋体" w:asciiTheme="minorEastAsia" w:hAnsiTheme="minorEastAsia"/>
          <w:color w:val="000000"/>
          <w:kern w:val="0"/>
          <w:sz w:val="24"/>
          <w:szCs w:val="24"/>
          <w:u w:val="single"/>
          <w:lang w:val="en-US" w:eastAsia="zh-CN"/>
        </w:rPr>
        <w:t>26</w:t>
      </w:r>
      <w:r>
        <w:rPr>
          <w:rFonts w:hint="eastAsia" w:cs="宋体" w:asciiTheme="minorEastAsia" w:hAnsiTheme="minorEastAsia"/>
          <w:color w:val="000000"/>
          <w:kern w:val="0"/>
          <w:sz w:val="24"/>
          <w:szCs w:val="24"/>
          <w:u w:val="single"/>
        </w:rPr>
        <w:t>年</w:t>
      </w:r>
      <w:r>
        <w:rPr>
          <w:rFonts w:hint="eastAsia" w:cs="宋体" w:asciiTheme="minorEastAsia" w:hAnsiTheme="minorEastAsia"/>
          <w:color w:val="000000"/>
          <w:kern w:val="0"/>
          <w:sz w:val="24"/>
          <w:szCs w:val="24"/>
          <w:u w:val="single"/>
          <w:lang w:val="en-US" w:eastAsia="zh-CN"/>
        </w:rPr>
        <w:t>01</w:t>
      </w:r>
      <w:r>
        <w:rPr>
          <w:rFonts w:hint="eastAsia" w:cs="宋体" w:asciiTheme="minorEastAsia" w:hAnsiTheme="minorEastAsia"/>
          <w:color w:val="000000"/>
          <w:kern w:val="0"/>
          <w:sz w:val="24"/>
          <w:szCs w:val="24"/>
          <w:u w:val="single"/>
        </w:rPr>
        <w:t>月（第</w:t>
      </w:r>
      <w:r>
        <w:rPr>
          <w:rFonts w:hint="eastAsia" w:cs="宋体" w:asciiTheme="minorEastAsia" w:hAnsiTheme="minorEastAsia"/>
          <w:color w:val="000000"/>
          <w:kern w:val="0"/>
          <w:sz w:val="24"/>
          <w:szCs w:val="24"/>
          <w:u w:val="single"/>
          <w:lang w:val="en-US" w:eastAsia="zh-CN"/>
        </w:rPr>
        <w:t>1</w:t>
      </w:r>
      <w:r>
        <w:rPr>
          <w:rFonts w:hint="eastAsia" w:cs="宋体" w:asciiTheme="minorEastAsia" w:hAnsiTheme="minorEastAsia"/>
          <w:color w:val="000000"/>
          <w:kern w:val="0"/>
          <w:sz w:val="24"/>
          <w:szCs w:val="24"/>
          <w:u w:val="single"/>
        </w:rPr>
        <w:t>版）</w:t>
      </w:r>
    </w:p>
    <w:p w14:paraId="5F4CCE83">
      <w:pPr>
        <w:widowControl/>
        <w:ind w:firstLine="480" w:firstLineChars="200"/>
        <w:jc w:val="left"/>
        <w:rPr>
          <w:rFonts w:cs="宋体" w:asciiTheme="minorEastAsia" w:hAnsiTheme="minorEastAsia"/>
          <w:color w:val="000000"/>
          <w:kern w:val="0"/>
          <w:sz w:val="24"/>
          <w:szCs w:val="24"/>
        </w:rPr>
      </w:pPr>
    </w:p>
    <w:p w14:paraId="5191412C">
      <w:pPr>
        <w:widowControl/>
        <w:ind w:firstLine="482" w:firstLineChars="200"/>
        <w:jc w:val="left"/>
        <w:rPr>
          <w:rFonts w:cs="宋体" w:asciiTheme="minorEastAsia" w:hAnsiTheme="minorEastAsia"/>
          <w:b/>
          <w:color w:val="000000"/>
          <w:kern w:val="0"/>
          <w:sz w:val="24"/>
          <w:szCs w:val="24"/>
        </w:rPr>
      </w:pPr>
      <w:r>
        <w:rPr>
          <w:rFonts w:cs="宋体" w:asciiTheme="minorEastAsia" w:hAnsiTheme="minorEastAsia"/>
          <w:b/>
          <w:color w:val="000000"/>
          <w:kern w:val="0"/>
          <w:sz w:val="24"/>
          <w:szCs w:val="24"/>
        </w:rPr>
        <w:t>二、审查人员</w:t>
      </w:r>
    </w:p>
    <w:tbl>
      <w:tblPr>
        <w:tblStyle w:val="7"/>
        <w:tblW w:w="0" w:type="auto"/>
        <w:jc w:val="center"/>
        <w:tblLayout w:type="autofit"/>
        <w:tblCellMar>
          <w:top w:w="0" w:type="dxa"/>
          <w:left w:w="0" w:type="dxa"/>
          <w:bottom w:w="0" w:type="dxa"/>
          <w:right w:w="0" w:type="dxa"/>
        </w:tblCellMar>
      </w:tblPr>
      <w:tblGrid>
        <w:gridCol w:w="869"/>
        <w:gridCol w:w="950"/>
        <w:gridCol w:w="950"/>
        <w:gridCol w:w="1422"/>
        <w:gridCol w:w="1642"/>
        <w:gridCol w:w="1692"/>
        <w:gridCol w:w="997"/>
      </w:tblGrid>
      <w:tr w14:paraId="33154853">
        <w:tblPrEx>
          <w:tblCellMar>
            <w:top w:w="0" w:type="dxa"/>
            <w:left w:w="0" w:type="dxa"/>
            <w:bottom w:w="0" w:type="dxa"/>
            <w:right w:w="0" w:type="dxa"/>
          </w:tblCellMar>
        </w:tblPrEx>
        <w:trPr>
          <w:jc w:val="center"/>
        </w:trPr>
        <w:tc>
          <w:tcPr>
            <w:tcW w:w="905"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4750DD1D">
            <w:pPr>
              <w:jc w:val="center"/>
              <w:rPr>
                <w:rFonts w:cs="宋体" w:asciiTheme="minorEastAsia" w:hAnsiTheme="minorEastAsia"/>
                <w:b/>
                <w:kern w:val="0"/>
                <w:sz w:val="24"/>
                <w:szCs w:val="24"/>
              </w:rPr>
            </w:pPr>
            <w:r>
              <w:rPr>
                <w:rFonts w:cs="宋体" w:asciiTheme="minorEastAsia" w:hAnsiTheme="minorEastAsia"/>
                <w:b/>
                <w:kern w:val="0"/>
                <w:sz w:val="24"/>
                <w:szCs w:val="24"/>
              </w:rPr>
              <w:t>序号</w:t>
            </w:r>
          </w:p>
        </w:tc>
        <w:tc>
          <w:tcPr>
            <w:tcW w:w="992" w:type="dxa"/>
            <w:tcBorders>
              <w:top w:val="single" w:color="000000" w:sz="8" w:space="0"/>
              <w:left w:val="nil"/>
              <w:bottom w:val="single" w:color="000000" w:sz="8" w:space="0"/>
              <w:right w:val="single" w:color="auto" w:sz="8" w:space="0"/>
            </w:tcBorders>
            <w:tcMar>
              <w:top w:w="0" w:type="dxa"/>
              <w:left w:w="108" w:type="dxa"/>
              <w:bottom w:w="0" w:type="dxa"/>
              <w:right w:w="108" w:type="dxa"/>
            </w:tcMar>
            <w:vAlign w:val="center"/>
          </w:tcPr>
          <w:p w14:paraId="2A7C218B">
            <w:pPr>
              <w:jc w:val="center"/>
              <w:rPr>
                <w:rFonts w:cs="宋体" w:asciiTheme="minorEastAsia" w:hAnsiTheme="minorEastAsia"/>
                <w:b/>
                <w:kern w:val="0"/>
                <w:sz w:val="24"/>
                <w:szCs w:val="24"/>
              </w:rPr>
            </w:pPr>
            <w:r>
              <w:rPr>
                <w:rFonts w:cs="宋体" w:asciiTheme="minorEastAsia" w:hAnsiTheme="minorEastAsia"/>
                <w:b/>
                <w:kern w:val="0"/>
                <w:sz w:val="24"/>
                <w:szCs w:val="24"/>
              </w:rPr>
              <w:t>姓名</w:t>
            </w:r>
          </w:p>
        </w:tc>
        <w:tc>
          <w:tcPr>
            <w:tcW w:w="993" w:type="dxa"/>
            <w:tcBorders>
              <w:top w:val="single" w:color="000000" w:sz="8" w:space="0"/>
              <w:left w:val="nil"/>
              <w:bottom w:val="single" w:color="000000" w:sz="8" w:space="0"/>
              <w:right w:val="single" w:color="000000" w:sz="8" w:space="0"/>
            </w:tcBorders>
            <w:tcMar>
              <w:top w:w="0" w:type="dxa"/>
              <w:left w:w="108" w:type="dxa"/>
              <w:bottom w:w="0" w:type="dxa"/>
              <w:right w:w="108" w:type="dxa"/>
            </w:tcMar>
            <w:vAlign w:val="center"/>
          </w:tcPr>
          <w:p w14:paraId="3C6BD391">
            <w:pPr>
              <w:jc w:val="center"/>
              <w:rPr>
                <w:rFonts w:cs="宋体" w:asciiTheme="minorEastAsia" w:hAnsiTheme="minorEastAsia"/>
                <w:b/>
                <w:kern w:val="0"/>
                <w:sz w:val="24"/>
                <w:szCs w:val="24"/>
              </w:rPr>
            </w:pPr>
            <w:r>
              <w:rPr>
                <w:rFonts w:cs="宋体" w:asciiTheme="minorEastAsia" w:hAnsiTheme="minorEastAsia"/>
                <w:b/>
                <w:kern w:val="0"/>
                <w:sz w:val="24"/>
                <w:szCs w:val="24"/>
              </w:rPr>
              <w:t>单位</w:t>
            </w:r>
          </w:p>
        </w:tc>
        <w:tc>
          <w:tcPr>
            <w:tcW w:w="1505" w:type="dxa"/>
            <w:tcBorders>
              <w:top w:val="single" w:color="000000" w:sz="8" w:space="0"/>
              <w:left w:val="nil"/>
              <w:bottom w:val="single" w:color="000000" w:sz="8" w:space="0"/>
              <w:right w:val="single" w:color="000000" w:sz="8" w:space="0"/>
            </w:tcBorders>
            <w:tcMar>
              <w:top w:w="0" w:type="dxa"/>
              <w:left w:w="108" w:type="dxa"/>
              <w:bottom w:w="0" w:type="dxa"/>
              <w:right w:w="108" w:type="dxa"/>
            </w:tcMar>
            <w:vAlign w:val="center"/>
          </w:tcPr>
          <w:p w14:paraId="645F8474">
            <w:pPr>
              <w:jc w:val="center"/>
              <w:rPr>
                <w:rFonts w:cs="宋体" w:asciiTheme="minorEastAsia" w:hAnsiTheme="minorEastAsia"/>
                <w:b/>
                <w:kern w:val="0"/>
                <w:sz w:val="24"/>
                <w:szCs w:val="24"/>
              </w:rPr>
            </w:pPr>
            <w:r>
              <w:rPr>
                <w:rFonts w:cs="宋体" w:asciiTheme="minorEastAsia" w:hAnsiTheme="minorEastAsia"/>
                <w:b/>
                <w:kern w:val="0"/>
                <w:sz w:val="24"/>
                <w:szCs w:val="24"/>
              </w:rPr>
              <w:t>内部机构</w:t>
            </w:r>
          </w:p>
        </w:tc>
        <w:tc>
          <w:tcPr>
            <w:tcW w:w="1744" w:type="dxa"/>
            <w:tcBorders>
              <w:top w:val="single" w:color="000000" w:sz="8" w:space="0"/>
              <w:left w:val="nil"/>
              <w:bottom w:val="single" w:color="000000" w:sz="8" w:space="0"/>
              <w:right w:val="single" w:color="000000" w:sz="8" w:space="0"/>
            </w:tcBorders>
            <w:tcMar>
              <w:top w:w="0" w:type="dxa"/>
              <w:left w:w="108" w:type="dxa"/>
              <w:bottom w:w="0" w:type="dxa"/>
              <w:right w:w="108" w:type="dxa"/>
            </w:tcMar>
            <w:vAlign w:val="center"/>
          </w:tcPr>
          <w:p w14:paraId="46B51B6C">
            <w:pPr>
              <w:jc w:val="center"/>
              <w:rPr>
                <w:rFonts w:cs="宋体" w:asciiTheme="minorEastAsia" w:hAnsiTheme="minorEastAsia"/>
                <w:b/>
                <w:kern w:val="0"/>
                <w:sz w:val="24"/>
                <w:szCs w:val="24"/>
              </w:rPr>
            </w:pPr>
            <w:r>
              <w:rPr>
                <w:rFonts w:cs="宋体" w:asciiTheme="minorEastAsia" w:hAnsiTheme="minorEastAsia"/>
                <w:b/>
                <w:kern w:val="0"/>
                <w:sz w:val="24"/>
                <w:szCs w:val="24"/>
              </w:rPr>
              <w:t>职务/职称</w:t>
            </w:r>
          </w:p>
        </w:tc>
        <w:tc>
          <w:tcPr>
            <w:tcW w:w="1799" w:type="dxa"/>
            <w:tcBorders>
              <w:top w:val="single" w:color="000000" w:sz="8" w:space="0"/>
              <w:left w:val="nil"/>
              <w:bottom w:val="single" w:color="000000" w:sz="8" w:space="0"/>
              <w:right w:val="single" w:color="000000" w:sz="8" w:space="0"/>
            </w:tcBorders>
            <w:tcMar>
              <w:top w:w="0" w:type="dxa"/>
              <w:left w:w="108" w:type="dxa"/>
              <w:bottom w:w="0" w:type="dxa"/>
              <w:right w:w="108" w:type="dxa"/>
            </w:tcMar>
            <w:vAlign w:val="center"/>
          </w:tcPr>
          <w:p w14:paraId="75298615">
            <w:pPr>
              <w:jc w:val="center"/>
              <w:rPr>
                <w:rFonts w:cs="宋体" w:asciiTheme="minorEastAsia" w:hAnsiTheme="minorEastAsia"/>
                <w:b/>
                <w:kern w:val="0"/>
                <w:sz w:val="24"/>
                <w:szCs w:val="24"/>
              </w:rPr>
            </w:pPr>
            <w:r>
              <w:rPr>
                <w:rFonts w:cs="宋体" w:asciiTheme="minorEastAsia" w:hAnsiTheme="minorEastAsia"/>
                <w:b/>
                <w:kern w:val="0"/>
                <w:sz w:val="24"/>
                <w:szCs w:val="24"/>
              </w:rPr>
              <w:t>联系方式</w:t>
            </w:r>
          </w:p>
        </w:tc>
        <w:tc>
          <w:tcPr>
            <w:tcW w:w="1043" w:type="dxa"/>
            <w:tcBorders>
              <w:top w:val="single" w:color="000000" w:sz="8" w:space="0"/>
              <w:left w:val="nil"/>
              <w:bottom w:val="single" w:color="000000" w:sz="8" w:space="0"/>
              <w:right w:val="single" w:color="000000" w:sz="8" w:space="0"/>
            </w:tcBorders>
            <w:tcMar>
              <w:top w:w="0" w:type="dxa"/>
              <w:left w:w="108" w:type="dxa"/>
              <w:bottom w:w="0" w:type="dxa"/>
              <w:right w:w="108" w:type="dxa"/>
            </w:tcMar>
            <w:vAlign w:val="center"/>
          </w:tcPr>
          <w:p w14:paraId="4554035B">
            <w:pPr>
              <w:jc w:val="center"/>
              <w:rPr>
                <w:rFonts w:cs="宋体" w:asciiTheme="minorEastAsia" w:hAnsiTheme="minorEastAsia"/>
                <w:b/>
                <w:kern w:val="0"/>
                <w:sz w:val="24"/>
                <w:szCs w:val="24"/>
              </w:rPr>
            </w:pPr>
            <w:r>
              <w:rPr>
                <w:rFonts w:cs="宋体" w:asciiTheme="minorEastAsia" w:hAnsiTheme="minorEastAsia"/>
                <w:b/>
                <w:kern w:val="0"/>
                <w:sz w:val="24"/>
                <w:szCs w:val="24"/>
              </w:rPr>
              <w:t>备注</w:t>
            </w:r>
          </w:p>
        </w:tc>
      </w:tr>
      <w:tr w14:paraId="6ED8A983">
        <w:tblPrEx>
          <w:tblCellMar>
            <w:top w:w="0" w:type="dxa"/>
            <w:left w:w="0" w:type="dxa"/>
            <w:bottom w:w="0" w:type="dxa"/>
            <w:right w:w="0" w:type="dxa"/>
          </w:tblCellMar>
        </w:tblPrEx>
        <w:trPr>
          <w:jc w:val="center"/>
        </w:trPr>
        <w:tc>
          <w:tcPr>
            <w:tcW w:w="905" w:type="dxa"/>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14:paraId="0907BD9B">
            <w:pPr>
              <w:jc w:val="center"/>
              <w:rPr>
                <w:rFonts w:cs="宋体" w:asciiTheme="minorEastAsia" w:hAnsiTheme="minorEastAsia"/>
                <w:kern w:val="0"/>
                <w:sz w:val="24"/>
                <w:szCs w:val="24"/>
              </w:rPr>
            </w:pPr>
          </w:p>
        </w:tc>
        <w:tc>
          <w:tcPr>
            <w:tcW w:w="992" w:type="dxa"/>
            <w:tcBorders>
              <w:top w:val="nil"/>
              <w:left w:val="nil"/>
              <w:bottom w:val="single" w:color="000000" w:sz="8" w:space="0"/>
              <w:right w:val="single" w:color="auto" w:sz="8" w:space="0"/>
            </w:tcBorders>
            <w:tcMar>
              <w:top w:w="0" w:type="dxa"/>
              <w:left w:w="108" w:type="dxa"/>
              <w:bottom w:w="0" w:type="dxa"/>
              <w:right w:w="108" w:type="dxa"/>
            </w:tcMar>
            <w:vAlign w:val="center"/>
          </w:tcPr>
          <w:p w14:paraId="5D5C5088">
            <w:pPr>
              <w:jc w:val="center"/>
              <w:rPr>
                <w:rFonts w:cs="宋体" w:asciiTheme="minorEastAsia" w:hAnsiTheme="minorEastAsia"/>
                <w:kern w:val="0"/>
                <w:sz w:val="24"/>
                <w:szCs w:val="24"/>
              </w:rPr>
            </w:pPr>
          </w:p>
        </w:tc>
        <w:tc>
          <w:tcPr>
            <w:tcW w:w="993"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14190CBC">
            <w:pPr>
              <w:jc w:val="center"/>
              <w:rPr>
                <w:rFonts w:cs="宋体" w:asciiTheme="minorEastAsia" w:hAnsiTheme="minorEastAsia"/>
                <w:kern w:val="0"/>
                <w:sz w:val="24"/>
                <w:szCs w:val="24"/>
              </w:rPr>
            </w:pPr>
          </w:p>
        </w:tc>
        <w:tc>
          <w:tcPr>
            <w:tcW w:w="1505"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777478AF">
            <w:pPr>
              <w:jc w:val="center"/>
              <w:rPr>
                <w:rFonts w:cs="宋体" w:asciiTheme="minorEastAsia" w:hAnsiTheme="minorEastAsia"/>
                <w:kern w:val="0"/>
                <w:sz w:val="24"/>
                <w:szCs w:val="24"/>
              </w:rPr>
            </w:pPr>
          </w:p>
        </w:tc>
        <w:tc>
          <w:tcPr>
            <w:tcW w:w="1744"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6681650E">
            <w:pPr>
              <w:jc w:val="center"/>
              <w:rPr>
                <w:rFonts w:cs="宋体" w:asciiTheme="minorEastAsia" w:hAnsiTheme="minorEastAsia"/>
                <w:kern w:val="0"/>
                <w:sz w:val="24"/>
                <w:szCs w:val="24"/>
              </w:rPr>
            </w:pPr>
          </w:p>
        </w:tc>
        <w:tc>
          <w:tcPr>
            <w:tcW w:w="1799"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3E3CBCB4">
            <w:pPr>
              <w:jc w:val="center"/>
              <w:rPr>
                <w:rFonts w:cs="宋体" w:asciiTheme="minorEastAsia" w:hAnsiTheme="minorEastAsia"/>
                <w:kern w:val="0"/>
                <w:sz w:val="24"/>
                <w:szCs w:val="24"/>
              </w:rPr>
            </w:pPr>
          </w:p>
        </w:tc>
        <w:tc>
          <w:tcPr>
            <w:tcW w:w="1043"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18DA0ECE">
            <w:pPr>
              <w:jc w:val="center"/>
              <w:rPr>
                <w:rFonts w:cs="宋体" w:asciiTheme="minorEastAsia" w:hAnsiTheme="minorEastAsia"/>
                <w:kern w:val="0"/>
                <w:sz w:val="24"/>
                <w:szCs w:val="24"/>
              </w:rPr>
            </w:pPr>
          </w:p>
        </w:tc>
      </w:tr>
      <w:tr w14:paraId="25E310D8">
        <w:tblPrEx>
          <w:tblCellMar>
            <w:top w:w="0" w:type="dxa"/>
            <w:left w:w="0" w:type="dxa"/>
            <w:bottom w:w="0" w:type="dxa"/>
            <w:right w:w="0" w:type="dxa"/>
          </w:tblCellMar>
        </w:tblPrEx>
        <w:trPr>
          <w:jc w:val="center"/>
        </w:trPr>
        <w:tc>
          <w:tcPr>
            <w:tcW w:w="905" w:type="dxa"/>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14:paraId="08CCB5BF">
            <w:pPr>
              <w:jc w:val="center"/>
              <w:rPr>
                <w:rFonts w:cs="宋体" w:asciiTheme="minorEastAsia" w:hAnsiTheme="minorEastAsia"/>
                <w:kern w:val="0"/>
                <w:sz w:val="24"/>
                <w:szCs w:val="24"/>
              </w:rPr>
            </w:pPr>
          </w:p>
        </w:tc>
        <w:tc>
          <w:tcPr>
            <w:tcW w:w="992" w:type="dxa"/>
            <w:tcBorders>
              <w:top w:val="nil"/>
              <w:left w:val="nil"/>
              <w:bottom w:val="single" w:color="000000" w:sz="8" w:space="0"/>
              <w:right w:val="single" w:color="auto" w:sz="8" w:space="0"/>
            </w:tcBorders>
            <w:tcMar>
              <w:top w:w="0" w:type="dxa"/>
              <w:left w:w="108" w:type="dxa"/>
              <w:bottom w:w="0" w:type="dxa"/>
              <w:right w:w="108" w:type="dxa"/>
            </w:tcMar>
            <w:vAlign w:val="center"/>
          </w:tcPr>
          <w:p w14:paraId="5226E012">
            <w:pPr>
              <w:jc w:val="center"/>
              <w:rPr>
                <w:rFonts w:cs="宋体" w:asciiTheme="minorEastAsia" w:hAnsiTheme="minorEastAsia"/>
                <w:kern w:val="0"/>
                <w:sz w:val="24"/>
                <w:szCs w:val="24"/>
              </w:rPr>
            </w:pPr>
          </w:p>
        </w:tc>
        <w:tc>
          <w:tcPr>
            <w:tcW w:w="993"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0A65EA4B">
            <w:pPr>
              <w:jc w:val="center"/>
              <w:rPr>
                <w:rFonts w:cs="宋体" w:asciiTheme="minorEastAsia" w:hAnsiTheme="minorEastAsia"/>
                <w:kern w:val="0"/>
                <w:sz w:val="24"/>
                <w:szCs w:val="24"/>
              </w:rPr>
            </w:pPr>
          </w:p>
        </w:tc>
        <w:tc>
          <w:tcPr>
            <w:tcW w:w="1505"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596A34E6">
            <w:pPr>
              <w:jc w:val="center"/>
              <w:rPr>
                <w:rFonts w:cs="宋体" w:asciiTheme="minorEastAsia" w:hAnsiTheme="minorEastAsia"/>
                <w:kern w:val="0"/>
                <w:sz w:val="24"/>
                <w:szCs w:val="24"/>
              </w:rPr>
            </w:pPr>
          </w:p>
        </w:tc>
        <w:tc>
          <w:tcPr>
            <w:tcW w:w="1744"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73BB097D">
            <w:pPr>
              <w:jc w:val="center"/>
              <w:rPr>
                <w:rFonts w:cs="宋体" w:asciiTheme="minorEastAsia" w:hAnsiTheme="minorEastAsia"/>
                <w:kern w:val="0"/>
                <w:sz w:val="24"/>
                <w:szCs w:val="24"/>
              </w:rPr>
            </w:pPr>
          </w:p>
        </w:tc>
        <w:tc>
          <w:tcPr>
            <w:tcW w:w="1799"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0F3D631C">
            <w:pPr>
              <w:jc w:val="center"/>
              <w:rPr>
                <w:rFonts w:cs="宋体" w:asciiTheme="minorEastAsia" w:hAnsiTheme="minorEastAsia"/>
                <w:kern w:val="0"/>
                <w:sz w:val="24"/>
                <w:szCs w:val="24"/>
              </w:rPr>
            </w:pPr>
          </w:p>
        </w:tc>
        <w:tc>
          <w:tcPr>
            <w:tcW w:w="1043"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305B1340">
            <w:pPr>
              <w:jc w:val="center"/>
              <w:rPr>
                <w:rFonts w:cs="宋体" w:asciiTheme="minorEastAsia" w:hAnsiTheme="minorEastAsia"/>
                <w:kern w:val="0"/>
                <w:sz w:val="24"/>
                <w:szCs w:val="24"/>
              </w:rPr>
            </w:pPr>
          </w:p>
        </w:tc>
      </w:tr>
      <w:tr w14:paraId="32F24B66">
        <w:tblPrEx>
          <w:tblCellMar>
            <w:top w:w="0" w:type="dxa"/>
            <w:left w:w="0" w:type="dxa"/>
            <w:bottom w:w="0" w:type="dxa"/>
            <w:right w:w="0" w:type="dxa"/>
          </w:tblCellMar>
        </w:tblPrEx>
        <w:trPr>
          <w:jc w:val="center"/>
        </w:trPr>
        <w:tc>
          <w:tcPr>
            <w:tcW w:w="905" w:type="dxa"/>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14:paraId="061D52D6">
            <w:pPr>
              <w:jc w:val="center"/>
              <w:rPr>
                <w:rFonts w:cs="宋体" w:asciiTheme="minorEastAsia" w:hAnsiTheme="minorEastAsia"/>
                <w:kern w:val="0"/>
                <w:sz w:val="24"/>
                <w:szCs w:val="24"/>
              </w:rPr>
            </w:pPr>
          </w:p>
        </w:tc>
        <w:tc>
          <w:tcPr>
            <w:tcW w:w="992" w:type="dxa"/>
            <w:tcBorders>
              <w:top w:val="nil"/>
              <w:left w:val="nil"/>
              <w:bottom w:val="single" w:color="000000" w:sz="8" w:space="0"/>
              <w:right w:val="single" w:color="auto" w:sz="8" w:space="0"/>
            </w:tcBorders>
            <w:tcMar>
              <w:top w:w="0" w:type="dxa"/>
              <w:left w:w="108" w:type="dxa"/>
              <w:bottom w:w="0" w:type="dxa"/>
              <w:right w:w="108" w:type="dxa"/>
            </w:tcMar>
            <w:vAlign w:val="center"/>
          </w:tcPr>
          <w:p w14:paraId="34CD7F1A">
            <w:pPr>
              <w:jc w:val="center"/>
              <w:rPr>
                <w:rFonts w:cs="宋体" w:asciiTheme="minorEastAsia" w:hAnsiTheme="minorEastAsia"/>
                <w:kern w:val="0"/>
                <w:sz w:val="24"/>
                <w:szCs w:val="24"/>
              </w:rPr>
            </w:pPr>
          </w:p>
        </w:tc>
        <w:tc>
          <w:tcPr>
            <w:tcW w:w="993"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64688FFC">
            <w:pPr>
              <w:jc w:val="center"/>
              <w:rPr>
                <w:rFonts w:cs="宋体" w:asciiTheme="minorEastAsia" w:hAnsiTheme="minorEastAsia"/>
                <w:kern w:val="0"/>
                <w:sz w:val="24"/>
                <w:szCs w:val="24"/>
              </w:rPr>
            </w:pPr>
          </w:p>
        </w:tc>
        <w:tc>
          <w:tcPr>
            <w:tcW w:w="1505"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34935B9B">
            <w:pPr>
              <w:jc w:val="center"/>
              <w:rPr>
                <w:rFonts w:cs="宋体" w:asciiTheme="minorEastAsia" w:hAnsiTheme="minorEastAsia"/>
                <w:kern w:val="0"/>
                <w:sz w:val="24"/>
                <w:szCs w:val="24"/>
              </w:rPr>
            </w:pPr>
          </w:p>
        </w:tc>
        <w:tc>
          <w:tcPr>
            <w:tcW w:w="1744"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29E3BA4D">
            <w:pPr>
              <w:jc w:val="center"/>
              <w:rPr>
                <w:rFonts w:cs="宋体" w:asciiTheme="minorEastAsia" w:hAnsiTheme="minorEastAsia"/>
                <w:kern w:val="0"/>
                <w:sz w:val="24"/>
                <w:szCs w:val="24"/>
              </w:rPr>
            </w:pPr>
          </w:p>
        </w:tc>
        <w:tc>
          <w:tcPr>
            <w:tcW w:w="1799"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00CE4306">
            <w:pPr>
              <w:jc w:val="center"/>
              <w:rPr>
                <w:rFonts w:cs="宋体" w:asciiTheme="minorEastAsia" w:hAnsiTheme="minorEastAsia"/>
                <w:kern w:val="0"/>
                <w:sz w:val="24"/>
                <w:szCs w:val="24"/>
              </w:rPr>
            </w:pPr>
          </w:p>
        </w:tc>
        <w:tc>
          <w:tcPr>
            <w:tcW w:w="1043"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789114C9">
            <w:pPr>
              <w:jc w:val="center"/>
              <w:rPr>
                <w:rFonts w:cs="宋体" w:asciiTheme="minorEastAsia" w:hAnsiTheme="minorEastAsia"/>
                <w:kern w:val="0"/>
                <w:sz w:val="24"/>
                <w:szCs w:val="24"/>
              </w:rPr>
            </w:pPr>
          </w:p>
        </w:tc>
      </w:tr>
      <w:tr w14:paraId="033FDCBF">
        <w:tblPrEx>
          <w:tblCellMar>
            <w:top w:w="0" w:type="dxa"/>
            <w:left w:w="0" w:type="dxa"/>
            <w:bottom w:w="0" w:type="dxa"/>
            <w:right w:w="0" w:type="dxa"/>
          </w:tblCellMar>
        </w:tblPrEx>
        <w:trPr>
          <w:jc w:val="center"/>
        </w:trPr>
        <w:tc>
          <w:tcPr>
            <w:tcW w:w="905" w:type="dxa"/>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14:paraId="54EA6EAA">
            <w:pPr>
              <w:jc w:val="center"/>
              <w:rPr>
                <w:rFonts w:cs="宋体" w:asciiTheme="minorEastAsia" w:hAnsiTheme="minorEastAsia"/>
                <w:kern w:val="0"/>
                <w:sz w:val="24"/>
                <w:szCs w:val="24"/>
              </w:rPr>
            </w:pPr>
          </w:p>
        </w:tc>
        <w:tc>
          <w:tcPr>
            <w:tcW w:w="992" w:type="dxa"/>
            <w:tcBorders>
              <w:top w:val="nil"/>
              <w:left w:val="nil"/>
              <w:bottom w:val="single" w:color="000000" w:sz="8" w:space="0"/>
              <w:right w:val="single" w:color="auto" w:sz="8" w:space="0"/>
            </w:tcBorders>
            <w:tcMar>
              <w:top w:w="0" w:type="dxa"/>
              <w:left w:w="108" w:type="dxa"/>
              <w:bottom w:w="0" w:type="dxa"/>
              <w:right w:w="108" w:type="dxa"/>
            </w:tcMar>
            <w:vAlign w:val="center"/>
          </w:tcPr>
          <w:p w14:paraId="6E3A60A0">
            <w:pPr>
              <w:jc w:val="center"/>
              <w:rPr>
                <w:rFonts w:cs="宋体" w:asciiTheme="minorEastAsia" w:hAnsiTheme="minorEastAsia"/>
                <w:kern w:val="0"/>
                <w:sz w:val="24"/>
                <w:szCs w:val="24"/>
              </w:rPr>
            </w:pPr>
          </w:p>
        </w:tc>
        <w:tc>
          <w:tcPr>
            <w:tcW w:w="993"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0E6F1DD3">
            <w:pPr>
              <w:jc w:val="center"/>
              <w:rPr>
                <w:rFonts w:cs="宋体" w:asciiTheme="minorEastAsia" w:hAnsiTheme="minorEastAsia"/>
                <w:kern w:val="0"/>
                <w:sz w:val="24"/>
                <w:szCs w:val="24"/>
              </w:rPr>
            </w:pPr>
          </w:p>
        </w:tc>
        <w:tc>
          <w:tcPr>
            <w:tcW w:w="1505"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6A20A30D">
            <w:pPr>
              <w:jc w:val="center"/>
              <w:rPr>
                <w:rFonts w:cs="宋体" w:asciiTheme="minorEastAsia" w:hAnsiTheme="minorEastAsia"/>
                <w:kern w:val="0"/>
                <w:sz w:val="24"/>
                <w:szCs w:val="24"/>
              </w:rPr>
            </w:pPr>
          </w:p>
        </w:tc>
        <w:tc>
          <w:tcPr>
            <w:tcW w:w="1744"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0916243F">
            <w:pPr>
              <w:jc w:val="center"/>
              <w:rPr>
                <w:rFonts w:cs="宋体" w:asciiTheme="minorEastAsia" w:hAnsiTheme="minorEastAsia"/>
                <w:kern w:val="0"/>
                <w:sz w:val="24"/>
                <w:szCs w:val="24"/>
              </w:rPr>
            </w:pPr>
          </w:p>
        </w:tc>
        <w:tc>
          <w:tcPr>
            <w:tcW w:w="1799"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4DA78EAE">
            <w:pPr>
              <w:jc w:val="center"/>
              <w:rPr>
                <w:rFonts w:cs="宋体" w:asciiTheme="minorEastAsia" w:hAnsiTheme="minorEastAsia"/>
                <w:kern w:val="0"/>
                <w:sz w:val="24"/>
                <w:szCs w:val="24"/>
              </w:rPr>
            </w:pPr>
          </w:p>
        </w:tc>
        <w:tc>
          <w:tcPr>
            <w:tcW w:w="1043"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6FC2B1B3">
            <w:pPr>
              <w:jc w:val="center"/>
              <w:rPr>
                <w:rFonts w:cs="宋体" w:asciiTheme="minorEastAsia" w:hAnsiTheme="minorEastAsia"/>
                <w:kern w:val="0"/>
                <w:sz w:val="24"/>
                <w:szCs w:val="24"/>
              </w:rPr>
            </w:pPr>
          </w:p>
        </w:tc>
      </w:tr>
      <w:tr w14:paraId="4E7A3408">
        <w:tblPrEx>
          <w:tblCellMar>
            <w:top w:w="0" w:type="dxa"/>
            <w:left w:w="0" w:type="dxa"/>
            <w:bottom w:w="0" w:type="dxa"/>
            <w:right w:w="0" w:type="dxa"/>
          </w:tblCellMar>
        </w:tblPrEx>
        <w:trPr>
          <w:jc w:val="center"/>
        </w:trPr>
        <w:tc>
          <w:tcPr>
            <w:tcW w:w="905" w:type="dxa"/>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14:paraId="38BDF8D4">
            <w:pPr>
              <w:jc w:val="center"/>
              <w:rPr>
                <w:rFonts w:cs="宋体" w:asciiTheme="minorEastAsia" w:hAnsiTheme="minorEastAsia"/>
                <w:kern w:val="0"/>
                <w:sz w:val="24"/>
                <w:szCs w:val="24"/>
              </w:rPr>
            </w:pPr>
          </w:p>
        </w:tc>
        <w:tc>
          <w:tcPr>
            <w:tcW w:w="992" w:type="dxa"/>
            <w:tcBorders>
              <w:top w:val="nil"/>
              <w:left w:val="nil"/>
              <w:bottom w:val="single" w:color="000000" w:sz="8" w:space="0"/>
              <w:right w:val="single" w:color="auto" w:sz="8" w:space="0"/>
            </w:tcBorders>
            <w:tcMar>
              <w:top w:w="0" w:type="dxa"/>
              <w:left w:w="108" w:type="dxa"/>
              <w:bottom w:w="0" w:type="dxa"/>
              <w:right w:w="108" w:type="dxa"/>
            </w:tcMar>
            <w:vAlign w:val="center"/>
          </w:tcPr>
          <w:p w14:paraId="059518BF">
            <w:pPr>
              <w:jc w:val="center"/>
              <w:rPr>
                <w:rFonts w:cs="宋体" w:asciiTheme="minorEastAsia" w:hAnsiTheme="minorEastAsia"/>
                <w:kern w:val="0"/>
                <w:sz w:val="24"/>
                <w:szCs w:val="24"/>
              </w:rPr>
            </w:pPr>
          </w:p>
        </w:tc>
        <w:tc>
          <w:tcPr>
            <w:tcW w:w="993"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789D8DB2">
            <w:pPr>
              <w:jc w:val="center"/>
              <w:rPr>
                <w:rFonts w:cs="宋体" w:asciiTheme="minorEastAsia" w:hAnsiTheme="minorEastAsia"/>
                <w:kern w:val="0"/>
                <w:sz w:val="24"/>
                <w:szCs w:val="24"/>
              </w:rPr>
            </w:pPr>
          </w:p>
        </w:tc>
        <w:tc>
          <w:tcPr>
            <w:tcW w:w="1505"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2913C7A2">
            <w:pPr>
              <w:jc w:val="center"/>
              <w:rPr>
                <w:rFonts w:cs="宋体" w:asciiTheme="minorEastAsia" w:hAnsiTheme="minorEastAsia"/>
                <w:kern w:val="0"/>
                <w:sz w:val="24"/>
                <w:szCs w:val="24"/>
              </w:rPr>
            </w:pPr>
          </w:p>
        </w:tc>
        <w:tc>
          <w:tcPr>
            <w:tcW w:w="1744"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4F893D97">
            <w:pPr>
              <w:jc w:val="center"/>
              <w:rPr>
                <w:rFonts w:cs="宋体" w:asciiTheme="minorEastAsia" w:hAnsiTheme="minorEastAsia"/>
                <w:kern w:val="0"/>
                <w:sz w:val="24"/>
                <w:szCs w:val="24"/>
              </w:rPr>
            </w:pPr>
          </w:p>
        </w:tc>
        <w:tc>
          <w:tcPr>
            <w:tcW w:w="1799"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0A47A73F">
            <w:pPr>
              <w:jc w:val="center"/>
              <w:rPr>
                <w:rFonts w:cs="宋体" w:asciiTheme="minorEastAsia" w:hAnsiTheme="minorEastAsia"/>
                <w:kern w:val="0"/>
                <w:sz w:val="24"/>
                <w:szCs w:val="24"/>
              </w:rPr>
            </w:pPr>
          </w:p>
        </w:tc>
        <w:tc>
          <w:tcPr>
            <w:tcW w:w="1043"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2106CE18">
            <w:pPr>
              <w:jc w:val="center"/>
              <w:rPr>
                <w:rFonts w:cs="宋体" w:asciiTheme="minorEastAsia" w:hAnsiTheme="minorEastAsia"/>
                <w:kern w:val="0"/>
                <w:sz w:val="24"/>
                <w:szCs w:val="24"/>
              </w:rPr>
            </w:pPr>
          </w:p>
        </w:tc>
      </w:tr>
    </w:tbl>
    <w:p w14:paraId="0846BBAF">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i/>
          <w:iCs/>
          <w:color w:val="000000"/>
          <w:kern w:val="0"/>
          <w:sz w:val="24"/>
          <w:szCs w:val="24"/>
          <w:u w:val="single"/>
        </w:rPr>
        <w:t>审查工作机制成员应当包括本部门、本单位的采购、财务、业务、监督等内部机构。采购人可以根据本单位实际情况，建立相关专家和第三方机构参与审查的工作机制。</w:t>
      </w:r>
    </w:p>
    <w:p w14:paraId="2C9E9579">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i/>
          <w:iCs/>
          <w:color w:val="000000"/>
          <w:kern w:val="0"/>
          <w:sz w:val="24"/>
          <w:szCs w:val="24"/>
          <w:u w:val="single"/>
        </w:rPr>
        <w:t>参与确定采购需求和编制采购实施计划的专家和第三方机构不得参与审查。</w:t>
      </w:r>
    </w:p>
    <w:p w14:paraId="38AFE79F">
      <w:pPr>
        <w:widowControl/>
        <w:ind w:firstLine="482" w:firstLineChars="200"/>
        <w:jc w:val="left"/>
        <w:rPr>
          <w:rFonts w:cs="宋体" w:asciiTheme="minorEastAsia" w:hAnsiTheme="minorEastAsia"/>
          <w:b/>
          <w:color w:val="000000"/>
          <w:kern w:val="0"/>
          <w:sz w:val="24"/>
          <w:szCs w:val="24"/>
        </w:rPr>
      </w:pPr>
      <w:r>
        <w:rPr>
          <w:rFonts w:hint="eastAsia" w:cs="宋体" w:asciiTheme="minorEastAsia" w:hAnsiTheme="minorEastAsia"/>
          <w:b/>
          <w:color w:val="000000"/>
          <w:kern w:val="0"/>
          <w:sz w:val="24"/>
          <w:szCs w:val="24"/>
        </w:rPr>
        <w:t>三、审查会议</w:t>
      </w:r>
    </w:p>
    <w:p w14:paraId="1C99820C">
      <w:pPr>
        <w:widowControl/>
        <w:ind w:firstLine="480" w:firstLineChars="20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1.审查时间：</w:t>
      </w:r>
      <w:r>
        <w:rPr>
          <w:rFonts w:hint="eastAsia" w:cs="宋体" w:asciiTheme="minorEastAsia" w:hAnsiTheme="minorEastAsia"/>
          <w:color w:val="000000"/>
          <w:kern w:val="0"/>
          <w:sz w:val="24"/>
          <w:szCs w:val="24"/>
          <w:u w:val="single"/>
        </w:rPr>
        <w:t xml:space="preserve"> 20</w:t>
      </w:r>
      <w:r>
        <w:rPr>
          <w:rFonts w:hint="eastAsia" w:cs="宋体" w:asciiTheme="minorEastAsia" w:hAnsiTheme="minorEastAsia"/>
          <w:color w:val="000000"/>
          <w:kern w:val="0"/>
          <w:sz w:val="24"/>
          <w:szCs w:val="24"/>
          <w:u w:val="single"/>
          <w:lang w:val="en-US" w:eastAsia="zh-CN"/>
        </w:rPr>
        <w:t>26</w:t>
      </w:r>
      <w:r>
        <w:rPr>
          <w:rFonts w:hint="eastAsia" w:cs="宋体" w:asciiTheme="minorEastAsia" w:hAnsiTheme="minorEastAsia"/>
          <w:color w:val="000000"/>
          <w:kern w:val="0"/>
          <w:sz w:val="24"/>
          <w:szCs w:val="24"/>
          <w:u w:val="single"/>
        </w:rPr>
        <w:t>年</w:t>
      </w:r>
      <w:r>
        <w:rPr>
          <w:rFonts w:hint="eastAsia" w:cs="宋体" w:asciiTheme="minorEastAsia" w:hAnsiTheme="minorEastAsia"/>
          <w:color w:val="000000"/>
          <w:kern w:val="0"/>
          <w:sz w:val="24"/>
          <w:szCs w:val="24"/>
          <w:u w:val="single"/>
          <w:lang w:val="en-US" w:eastAsia="zh-CN"/>
        </w:rPr>
        <w:t>1</w:t>
      </w:r>
      <w:r>
        <w:rPr>
          <w:rFonts w:hint="eastAsia" w:cs="宋体" w:asciiTheme="minorEastAsia" w:hAnsiTheme="minorEastAsia"/>
          <w:color w:val="000000"/>
          <w:kern w:val="0"/>
          <w:sz w:val="24"/>
          <w:szCs w:val="24"/>
          <w:u w:val="single"/>
        </w:rPr>
        <w:t xml:space="preserve">月  </w:t>
      </w:r>
    </w:p>
    <w:p w14:paraId="6C6EE4FF">
      <w:pPr>
        <w:widowControl/>
        <w:ind w:firstLine="480" w:firstLineChars="20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2.审查地点：</w:t>
      </w:r>
      <w:r>
        <w:rPr>
          <w:rFonts w:hint="eastAsia" w:cs="宋体" w:asciiTheme="minorEastAsia" w:hAnsiTheme="minorEastAsia"/>
          <w:color w:val="000000"/>
          <w:kern w:val="0"/>
          <w:sz w:val="24"/>
          <w:szCs w:val="24"/>
          <w:u w:val="single"/>
        </w:rPr>
        <w:t xml:space="preserve"> </w:t>
      </w:r>
      <w:r>
        <w:rPr>
          <w:rFonts w:hint="eastAsia" w:cs="宋体" w:asciiTheme="minorEastAsia" w:hAnsiTheme="minorEastAsia"/>
          <w:color w:val="000000"/>
          <w:kern w:val="0"/>
          <w:sz w:val="24"/>
          <w:szCs w:val="24"/>
          <w:u w:val="single"/>
          <w:lang w:val="en-US" w:eastAsia="zh-CN"/>
        </w:rPr>
        <w:t>东莞市塘厦镇</w:t>
      </w:r>
      <w:r>
        <w:rPr>
          <w:rFonts w:hint="eastAsia" w:cs="宋体" w:asciiTheme="minorEastAsia" w:hAnsiTheme="minorEastAsia"/>
          <w:color w:val="000000"/>
          <w:kern w:val="0"/>
          <w:sz w:val="24"/>
          <w:szCs w:val="24"/>
          <w:u w:val="single"/>
        </w:rPr>
        <w:t xml:space="preserve"> </w:t>
      </w:r>
    </w:p>
    <w:p w14:paraId="68DB1B8B">
      <w:pPr>
        <w:widowControl/>
        <w:ind w:firstLine="480" w:firstLineChars="200"/>
        <w:jc w:val="left"/>
        <w:rPr>
          <w:rFonts w:cs="宋体" w:asciiTheme="minorEastAsia" w:hAnsiTheme="minorEastAsia"/>
          <w:color w:val="000000"/>
          <w:kern w:val="0"/>
          <w:sz w:val="24"/>
          <w:szCs w:val="24"/>
        </w:rPr>
      </w:pPr>
    </w:p>
    <w:p w14:paraId="066D545F">
      <w:pPr>
        <w:widowControl/>
        <w:ind w:firstLine="482" w:firstLineChars="200"/>
        <w:jc w:val="left"/>
        <w:rPr>
          <w:rFonts w:cs="宋体" w:asciiTheme="minorEastAsia" w:hAnsiTheme="minorEastAsia"/>
          <w:b/>
          <w:color w:val="000000"/>
          <w:kern w:val="0"/>
          <w:sz w:val="24"/>
          <w:szCs w:val="24"/>
        </w:rPr>
      </w:pPr>
      <w:r>
        <w:rPr>
          <w:rFonts w:cs="宋体" w:asciiTheme="minorEastAsia" w:hAnsiTheme="minorEastAsia"/>
          <w:b/>
          <w:color w:val="000000"/>
          <w:kern w:val="0"/>
          <w:sz w:val="24"/>
          <w:szCs w:val="24"/>
        </w:rPr>
        <w:t>四、审查意见</w:t>
      </w:r>
    </w:p>
    <w:p w14:paraId="1D1F4227">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一般性审查主要审查是否按照《政府采购需求管理办法》规定的程序和内容确定采购需求、编制采购实施计划。</w:t>
      </w:r>
    </w:p>
    <w:tbl>
      <w:tblPr>
        <w:tblStyle w:val="7"/>
        <w:tblW w:w="0" w:type="auto"/>
        <w:jc w:val="center"/>
        <w:tblLayout w:type="autofit"/>
        <w:tblCellMar>
          <w:top w:w="0" w:type="dxa"/>
          <w:left w:w="0" w:type="dxa"/>
          <w:bottom w:w="0" w:type="dxa"/>
          <w:right w:w="0" w:type="dxa"/>
        </w:tblCellMar>
      </w:tblPr>
      <w:tblGrid>
        <w:gridCol w:w="6391"/>
        <w:gridCol w:w="2131"/>
      </w:tblGrid>
      <w:tr w14:paraId="4D322673">
        <w:tblPrEx>
          <w:tblCellMar>
            <w:top w:w="0" w:type="dxa"/>
            <w:left w:w="0" w:type="dxa"/>
            <w:bottom w:w="0" w:type="dxa"/>
            <w:right w:w="0" w:type="dxa"/>
          </w:tblCellMar>
        </w:tblPrEx>
        <w:trPr>
          <w:jc w:val="center"/>
        </w:trPr>
        <w:tc>
          <w:tcPr>
            <w:tcW w:w="6391"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58AED126">
            <w:pPr>
              <w:jc w:val="center"/>
              <w:rPr>
                <w:rFonts w:cs="宋体" w:asciiTheme="minorEastAsia" w:hAnsiTheme="minorEastAsia"/>
                <w:kern w:val="0"/>
                <w:sz w:val="24"/>
                <w:szCs w:val="24"/>
              </w:rPr>
            </w:pPr>
            <w:r>
              <w:rPr>
                <w:rFonts w:cs="宋体" w:asciiTheme="minorEastAsia" w:hAnsiTheme="minorEastAsia"/>
                <w:b/>
                <w:bCs/>
                <w:kern w:val="0"/>
                <w:sz w:val="24"/>
                <w:szCs w:val="24"/>
              </w:rPr>
              <w:t>审 查 内 容</w:t>
            </w:r>
          </w:p>
        </w:tc>
        <w:tc>
          <w:tcPr>
            <w:tcW w:w="2131" w:type="dxa"/>
            <w:tcBorders>
              <w:top w:val="single" w:color="000000" w:sz="8" w:space="0"/>
              <w:left w:val="nil"/>
              <w:bottom w:val="single" w:color="000000" w:sz="8" w:space="0"/>
              <w:right w:val="single" w:color="000000" w:sz="8" w:space="0"/>
            </w:tcBorders>
            <w:tcMar>
              <w:top w:w="0" w:type="dxa"/>
              <w:left w:w="108" w:type="dxa"/>
              <w:bottom w:w="0" w:type="dxa"/>
              <w:right w:w="108" w:type="dxa"/>
            </w:tcMar>
            <w:vAlign w:val="center"/>
          </w:tcPr>
          <w:p w14:paraId="08120A85">
            <w:pPr>
              <w:jc w:val="center"/>
              <w:rPr>
                <w:rFonts w:cs="宋体" w:asciiTheme="minorEastAsia" w:hAnsiTheme="minorEastAsia"/>
                <w:kern w:val="0"/>
                <w:sz w:val="24"/>
                <w:szCs w:val="24"/>
              </w:rPr>
            </w:pPr>
            <w:r>
              <w:rPr>
                <w:rFonts w:cs="宋体" w:asciiTheme="minorEastAsia" w:hAnsiTheme="minorEastAsia"/>
                <w:b/>
                <w:bCs/>
                <w:kern w:val="0"/>
                <w:sz w:val="24"/>
                <w:szCs w:val="24"/>
              </w:rPr>
              <w:t>审查结果</w:t>
            </w:r>
          </w:p>
        </w:tc>
      </w:tr>
      <w:tr w14:paraId="46ED02E8">
        <w:tblPrEx>
          <w:tblCellMar>
            <w:top w:w="0" w:type="dxa"/>
            <w:left w:w="0" w:type="dxa"/>
            <w:bottom w:w="0" w:type="dxa"/>
            <w:right w:w="0" w:type="dxa"/>
          </w:tblCellMar>
        </w:tblPrEx>
        <w:trPr>
          <w:jc w:val="center"/>
        </w:trPr>
        <w:tc>
          <w:tcPr>
            <w:tcW w:w="6391" w:type="dxa"/>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14:paraId="79CCA87B">
            <w:pPr>
              <w:jc w:val="left"/>
              <w:rPr>
                <w:rFonts w:cs="宋体" w:asciiTheme="minorEastAsia" w:hAnsiTheme="minorEastAsia"/>
                <w:kern w:val="0"/>
                <w:sz w:val="24"/>
                <w:szCs w:val="24"/>
              </w:rPr>
            </w:pPr>
            <w:r>
              <w:rPr>
                <w:rFonts w:cs="宋体" w:asciiTheme="minorEastAsia" w:hAnsiTheme="minorEastAsia"/>
                <w:kern w:val="0"/>
                <w:sz w:val="24"/>
                <w:szCs w:val="24"/>
              </w:rPr>
              <w:t>如需开展需求调查的，是否按规定开展需求调查</w:t>
            </w:r>
          </w:p>
        </w:tc>
        <w:tc>
          <w:tcPr>
            <w:tcW w:w="2131"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43260D13">
            <w:pPr>
              <w:jc w:val="center"/>
              <w:rPr>
                <w:rFonts w:cs="宋体" w:asciiTheme="minorEastAsia" w:hAnsiTheme="minorEastAsia"/>
                <w:kern w:val="0"/>
                <w:sz w:val="24"/>
                <w:szCs w:val="24"/>
              </w:rPr>
            </w:pPr>
          </w:p>
        </w:tc>
      </w:tr>
      <w:tr w14:paraId="4770B307">
        <w:tblPrEx>
          <w:tblCellMar>
            <w:top w:w="0" w:type="dxa"/>
            <w:left w:w="0" w:type="dxa"/>
            <w:bottom w:w="0" w:type="dxa"/>
            <w:right w:w="0" w:type="dxa"/>
          </w:tblCellMar>
        </w:tblPrEx>
        <w:trPr>
          <w:jc w:val="center"/>
        </w:trPr>
        <w:tc>
          <w:tcPr>
            <w:tcW w:w="6391" w:type="dxa"/>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14:paraId="6A492F0B">
            <w:pPr>
              <w:jc w:val="left"/>
              <w:rPr>
                <w:rFonts w:cs="宋体" w:asciiTheme="minorEastAsia" w:hAnsiTheme="minorEastAsia"/>
                <w:kern w:val="0"/>
                <w:sz w:val="24"/>
                <w:szCs w:val="24"/>
              </w:rPr>
            </w:pPr>
            <w:r>
              <w:rPr>
                <w:rFonts w:cs="宋体" w:asciiTheme="minorEastAsia" w:hAnsiTheme="minorEastAsia"/>
                <w:kern w:val="0"/>
                <w:sz w:val="24"/>
                <w:szCs w:val="24"/>
              </w:rPr>
              <w:t>采购需求是否符合预算、资产、财务等管理制度规定</w:t>
            </w:r>
          </w:p>
        </w:tc>
        <w:tc>
          <w:tcPr>
            <w:tcW w:w="2131"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7B3D3DBC">
            <w:pPr>
              <w:jc w:val="center"/>
              <w:rPr>
                <w:rFonts w:cs="宋体" w:asciiTheme="minorEastAsia" w:hAnsiTheme="minorEastAsia"/>
                <w:kern w:val="0"/>
                <w:sz w:val="24"/>
                <w:szCs w:val="24"/>
              </w:rPr>
            </w:pPr>
          </w:p>
        </w:tc>
      </w:tr>
      <w:tr w14:paraId="1E3DBEF4">
        <w:tblPrEx>
          <w:tblCellMar>
            <w:top w:w="0" w:type="dxa"/>
            <w:left w:w="0" w:type="dxa"/>
            <w:bottom w:w="0" w:type="dxa"/>
            <w:right w:w="0" w:type="dxa"/>
          </w:tblCellMar>
        </w:tblPrEx>
        <w:trPr>
          <w:jc w:val="center"/>
        </w:trPr>
        <w:tc>
          <w:tcPr>
            <w:tcW w:w="6391" w:type="dxa"/>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14:paraId="6891E388">
            <w:pPr>
              <w:jc w:val="left"/>
              <w:rPr>
                <w:rFonts w:cs="宋体" w:asciiTheme="minorEastAsia" w:hAnsiTheme="minorEastAsia"/>
                <w:kern w:val="0"/>
                <w:sz w:val="24"/>
                <w:szCs w:val="24"/>
              </w:rPr>
            </w:pPr>
            <w:r>
              <w:rPr>
                <w:rFonts w:cs="宋体" w:asciiTheme="minorEastAsia" w:hAnsiTheme="minorEastAsia"/>
                <w:kern w:val="0"/>
                <w:sz w:val="24"/>
                <w:szCs w:val="24"/>
              </w:rPr>
              <w:t>对采购方式、评审规则、合同类型、定价方式的选择是否说明适用理由</w:t>
            </w:r>
          </w:p>
        </w:tc>
        <w:tc>
          <w:tcPr>
            <w:tcW w:w="2131"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51CA0EA4">
            <w:pPr>
              <w:jc w:val="center"/>
              <w:rPr>
                <w:rFonts w:cs="宋体" w:asciiTheme="minorEastAsia" w:hAnsiTheme="minorEastAsia"/>
                <w:kern w:val="0"/>
                <w:sz w:val="24"/>
                <w:szCs w:val="24"/>
              </w:rPr>
            </w:pPr>
          </w:p>
        </w:tc>
      </w:tr>
      <w:tr w14:paraId="7D2E403C">
        <w:tblPrEx>
          <w:tblCellMar>
            <w:top w:w="0" w:type="dxa"/>
            <w:left w:w="0" w:type="dxa"/>
            <w:bottom w:w="0" w:type="dxa"/>
            <w:right w:w="0" w:type="dxa"/>
          </w:tblCellMar>
        </w:tblPrEx>
        <w:trPr>
          <w:jc w:val="center"/>
        </w:trPr>
        <w:tc>
          <w:tcPr>
            <w:tcW w:w="6391" w:type="dxa"/>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14:paraId="6B477A1D">
            <w:pPr>
              <w:jc w:val="left"/>
              <w:rPr>
                <w:rFonts w:cs="宋体" w:asciiTheme="minorEastAsia" w:hAnsiTheme="minorEastAsia"/>
                <w:kern w:val="0"/>
                <w:sz w:val="24"/>
                <w:szCs w:val="24"/>
              </w:rPr>
            </w:pPr>
            <w:r>
              <w:rPr>
                <w:rFonts w:cs="宋体" w:asciiTheme="minorEastAsia" w:hAnsiTheme="minorEastAsia"/>
                <w:kern w:val="0"/>
                <w:sz w:val="24"/>
                <w:szCs w:val="24"/>
              </w:rPr>
              <w:t>属于按规定需要报相关监管部门批准、核准的事项，是否作出相关安排</w:t>
            </w:r>
          </w:p>
        </w:tc>
        <w:tc>
          <w:tcPr>
            <w:tcW w:w="2131"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0BE96D47">
            <w:pPr>
              <w:jc w:val="center"/>
              <w:rPr>
                <w:rFonts w:cs="宋体" w:asciiTheme="minorEastAsia" w:hAnsiTheme="minorEastAsia"/>
                <w:kern w:val="0"/>
                <w:sz w:val="24"/>
                <w:szCs w:val="24"/>
              </w:rPr>
            </w:pPr>
          </w:p>
        </w:tc>
      </w:tr>
      <w:tr w14:paraId="0B8D1412">
        <w:tblPrEx>
          <w:tblCellMar>
            <w:top w:w="0" w:type="dxa"/>
            <w:left w:w="0" w:type="dxa"/>
            <w:bottom w:w="0" w:type="dxa"/>
            <w:right w:w="0" w:type="dxa"/>
          </w:tblCellMar>
        </w:tblPrEx>
        <w:trPr>
          <w:jc w:val="center"/>
        </w:trPr>
        <w:tc>
          <w:tcPr>
            <w:tcW w:w="6391" w:type="dxa"/>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14:paraId="7C1BC9E1">
            <w:pPr>
              <w:jc w:val="left"/>
              <w:rPr>
                <w:rFonts w:cs="宋体" w:asciiTheme="minorEastAsia" w:hAnsiTheme="minorEastAsia"/>
                <w:kern w:val="0"/>
                <w:sz w:val="24"/>
                <w:szCs w:val="24"/>
              </w:rPr>
            </w:pPr>
            <w:r>
              <w:rPr>
                <w:rFonts w:cs="宋体" w:asciiTheme="minorEastAsia" w:hAnsiTheme="minorEastAsia"/>
                <w:kern w:val="0"/>
                <w:sz w:val="24"/>
                <w:szCs w:val="24"/>
              </w:rPr>
              <w:t>采购实施计划是否完整</w:t>
            </w:r>
          </w:p>
        </w:tc>
        <w:tc>
          <w:tcPr>
            <w:tcW w:w="2131"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0BE92CF7">
            <w:pPr>
              <w:jc w:val="center"/>
              <w:rPr>
                <w:rFonts w:cs="宋体" w:asciiTheme="minorEastAsia" w:hAnsiTheme="minorEastAsia"/>
                <w:kern w:val="0"/>
                <w:sz w:val="24"/>
                <w:szCs w:val="24"/>
              </w:rPr>
            </w:pPr>
          </w:p>
        </w:tc>
      </w:tr>
      <w:tr w14:paraId="2CA19FB2">
        <w:tblPrEx>
          <w:tblCellMar>
            <w:top w:w="0" w:type="dxa"/>
            <w:left w:w="0" w:type="dxa"/>
            <w:bottom w:w="0" w:type="dxa"/>
            <w:right w:w="0" w:type="dxa"/>
          </w:tblCellMar>
        </w:tblPrEx>
        <w:trPr>
          <w:jc w:val="center"/>
        </w:trPr>
        <w:tc>
          <w:tcPr>
            <w:tcW w:w="6391" w:type="dxa"/>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14:paraId="5B527CC5">
            <w:pPr>
              <w:jc w:val="center"/>
              <w:rPr>
                <w:rFonts w:cs="宋体" w:asciiTheme="minorEastAsia" w:hAnsiTheme="minorEastAsia"/>
                <w:kern w:val="0"/>
                <w:sz w:val="24"/>
                <w:szCs w:val="24"/>
              </w:rPr>
            </w:pPr>
            <w:r>
              <w:rPr>
                <w:rFonts w:cs="宋体" w:asciiTheme="minorEastAsia" w:hAnsiTheme="minorEastAsia"/>
                <w:b/>
                <w:bCs/>
                <w:kern w:val="0"/>
                <w:sz w:val="24"/>
                <w:szCs w:val="24"/>
              </w:rPr>
              <w:t>审查结论</w:t>
            </w:r>
          </w:p>
        </w:tc>
        <w:tc>
          <w:tcPr>
            <w:tcW w:w="2131"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480EA72A">
            <w:pPr>
              <w:jc w:val="center"/>
              <w:rPr>
                <w:rFonts w:cs="宋体" w:asciiTheme="minorEastAsia" w:hAnsiTheme="minorEastAsia"/>
                <w:kern w:val="0"/>
                <w:sz w:val="24"/>
                <w:szCs w:val="24"/>
              </w:rPr>
            </w:pPr>
            <w:r>
              <w:rPr>
                <w:rFonts w:cs="宋体" w:asciiTheme="minorEastAsia" w:hAnsiTheme="minorEastAsia"/>
                <w:kern w:val="0"/>
                <w:sz w:val="24"/>
                <w:szCs w:val="24"/>
              </w:rPr>
              <w:t>通过/不通过</w:t>
            </w:r>
          </w:p>
        </w:tc>
      </w:tr>
      <w:tr w14:paraId="2396E05C">
        <w:tblPrEx>
          <w:tblCellMar>
            <w:top w:w="0" w:type="dxa"/>
            <w:left w:w="0" w:type="dxa"/>
            <w:bottom w:w="0" w:type="dxa"/>
            <w:right w:w="0" w:type="dxa"/>
          </w:tblCellMar>
        </w:tblPrEx>
        <w:trPr>
          <w:jc w:val="center"/>
        </w:trPr>
        <w:tc>
          <w:tcPr>
            <w:tcW w:w="8522" w:type="dxa"/>
            <w:gridSpan w:val="2"/>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14:paraId="4CF00C88">
            <w:pPr>
              <w:jc w:val="left"/>
              <w:rPr>
                <w:rFonts w:cs="宋体" w:asciiTheme="minorEastAsia" w:hAnsiTheme="minorEastAsia"/>
                <w:kern w:val="0"/>
                <w:sz w:val="24"/>
                <w:szCs w:val="24"/>
              </w:rPr>
            </w:pPr>
            <w:r>
              <w:rPr>
                <w:rFonts w:cs="宋体" w:asciiTheme="minorEastAsia" w:hAnsiTheme="minorEastAsia"/>
                <w:kern w:val="0"/>
                <w:sz w:val="24"/>
                <w:szCs w:val="24"/>
              </w:rPr>
              <w:t>审查意见：</w:t>
            </w:r>
          </w:p>
          <w:p w14:paraId="11CB8DAA">
            <w:pPr>
              <w:ind w:firstLine="480" w:firstLineChars="200"/>
              <w:jc w:val="left"/>
              <w:rPr>
                <w:rFonts w:cs="宋体" w:asciiTheme="minorEastAsia" w:hAnsiTheme="minorEastAsia"/>
                <w:kern w:val="0"/>
                <w:sz w:val="24"/>
                <w:szCs w:val="24"/>
              </w:rPr>
            </w:pPr>
            <w:r>
              <w:rPr>
                <w:rFonts w:cs="宋体" w:asciiTheme="minorEastAsia" w:hAnsiTheme="minorEastAsia"/>
                <w:i/>
                <w:iCs/>
                <w:kern w:val="0"/>
                <w:sz w:val="24"/>
                <w:szCs w:val="24"/>
                <w:u w:val="single"/>
              </w:rPr>
              <w:t>示例：经审查，采购需求、采购实施计划符合相关规定，审查通过。</w:t>
            </w:r>
          </w:p>
          <w:p w14:paraId="76E356C1">
            <w:pPr>
              <w:ind w:firstLine="480" w:firstLineChars="200"/>
              <w:jc w:val="left"/>
              <w:rPr>
                <w:rFonts w:cs="宋体" w:asciiTheme="minorEastAsia" w:hAnsiTheme="minorEastAsia"/>
                <w:kern w:val="0"/>
                <w:sz w:val="24"/>
                <w:szCs w:val="24"/>
              </w:rPr>
            </w:pPr>
            <w:r>
              <w:rPr>
                <w:rFonts w:cs="宋体" w:asciiTheme="minorEastAsia" w:hAnsiTheme="minorEastAsia"/>
                <w:i/>
                <w:iCs/>
                <w:kern w:val="0"/>
                <w:sz w:val="24"/>
                <w:szCs w:val="24"/>
                <w:u w:val="single"/>
              </w:rPr>
              <w:t>示例：经审查，选择的采购方式为竞争性磋商，但本项目不符合《政府采购竞争性磋商采购方式管理暂行办法》（财库〔2014〕214号）第三条规定的适用情形，审查不通过，根据相关规定修改后，再重新进行审查。</w:t>
            </w:r>
          </w:p>
        </w:tc>
      </w:tr>
    </w:tbl>
    <w:p w14:paraId="0E907486">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i/>
          <w:iCs/>
          <w:color w:val="000000"/>
          <w:kern w:val="0"/>
          <w:sz w:val="24"/>
          <w:szCs w:val="24"/>
          <w:u w:val="single"/>
        </w:rPr>
        <w:t>审查结果为“通过”或“不通过”，审查结果“不通过”的，还需说明具体原因。</w:t>
      </w:r>
    </w:p>
    <w:p w14:paraId="1B23A098">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i/>
          <w:iCs/>
          <w:color w:val="000000"/>
          <w:kern w:val="0"/>
          <w:sz w:val="24"/>
          <w:szCs w:val="24"/>
          <w:u w:val="single"/>
        </w:rPr>
        <w:t>审查结果全部为“通过”的，则审查结论为“通过”。审查结果有一项为“不通过”的，则审查结论为“不通过”。</w:t>
      </w:r>
    </w:p>
    <w:p w14:paraId="2CE14125">
      <w:pPr>
        <w:widowControl/>
        <w:ind w:firstLine="480" w:firstLineChars="200"/>
        <w:jc w:val="left"/>
        <w:rPr>
          <w:rFonts w:cs="宋体" w:asciiTheme="minorEastAsia" w:hAnsiTheme="minorEastAsia"/>
          <w:i/>
          <w:iCs/>
          <w:color w:val="000000"/>
          <w:kern w:val="0"/>
          <w:sz w:val="24"/>
          <w:szCs w:val="24"/>
        </w:rPr>
      </w:pPr>
    </w:p>
    <w:p w14:paraId="46AF31F0">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审查人员（签字）：</w:t>
      </w:r>
    </w:p>
    <w:p w14:paraId="61CDE6CE">
      <w:pPr>
        <w:widowControl/>
        <w:jc w:val="left"/>
        <w:rPr>
          <w:rFonts w:ascii="宋体" w:hAnsi="宋体" w:eastAsia="宋体" w:cs="宋体"/>
          <w:color w:val="000000"/>
          <w:kern w:val="0"/>
          <w:sz w:val="27"/>
          <w:szCs w:val="27"/>
        </w:rPr>
      </w:pPr>
    </w:p>
    <w:p w14:paraId="1B6BA985">
      <w:pPr>
        <w:widowControl/>
        <w:jc w:val="left"/>
        <w:rPr>
          <w:rFonts w:ascii="仿宋" w:hAnsi="仿宋" w:eastAsia="仿宋" w:cs="宋体"/>
          <w:color w:val="000000"/>
          <w:kern w:val="0"/>
          <w:sz w:val="27"/>
          <w:szCs w:val="27"/>
        </w:rPr>
      </w:pPr>
      <w:r>
        <w:rPr>
          <w:rFonts w:ascii="仿宋" w:hAnsi="仿宋" w:eastAsia="仿宋" w:cs="宋体"/>
          <w:color w:val="000000"/>
          <w:kern w:val="0"/>
          <w:sz w:val="27"/>
          <w:szCs w:val="27"/>
        </w:rPr>
        <w:br w:type="page"/>
      </w:r>
    </w:p>
    <w:p w14:paraId="0D162B81">
      <w:pPr>
        <w:widowControl/>
        <w:jc w:val="center"/>
        <w:rPr>
          <w:rFonts w:ascii="仿宋" w:hAnsi="仿宋" w:eastAsia="仿宋" w:cs="宋体"/>
          <w:color w:val="000000"/>
          <w:kern w:val="0"/>
          <w:sz w:val="27"/>
          <w:szCs w:val="27"/>
        </w:rPr>
      </w:pPr>
    </w:p>
    <w:p w14:paraId="095C052C">
      <w:pPr>
        <w:widowControl/>
        <w:jc w:val="center"/>
        <w:rPr>
          <w:rFonts w:ascii="仿宋" w:hAnsi="仿宋" w:eastAsia="仿宋" w:cs="宋体"/>
          <w:color w:val="000000"/>
          <w:kern w:val="0"/>
          <w:sz w:val="27"/>
          <w:szCs w:val="27"/>
        </w:rPr>
      </w:pPr>
    </w:p>
    <w:p w14:paraId="18F8D6DF">
      <w:pPr>
        <w:widowControl/>
        <w:jc w:val="center"/>
        <w:rPr>
          <w:rFonts w:ascii="仿宋" w:hAnsi="仿宋" w:eastAsia="仿宋" w:cs="宋体"/>
          <w:color w:val="000000"/>
          <w:kern w:val="0"/>
          <w:sz w:val="27"/>
          <w:szCs w:val="27"/>
        </w:rPr>
      </w:pPr>
    </w:p>
    <w:p w14:paraId="04A1709D">
      <w:pPr>
        <w:widowControl/>
        <w:jc w:val="center"/>
        <w:rPr>
          <w:rFonts w:ascii="仿宋" w:hAnsi="仿宋" w:eastAsia="仿宋" w:cs="宋体"/>
          <w:color w:val="000000"/>
          <w:kern w:val="0"/>
          <w:sz w:val="27"/>
          <w:szCs w:val="27"/>
        </w:rPr>
      </w:pPr>
    </w:p>
    <w:p w14:paraId="6558273B">
      <w:pPr>
        <w:widowControl/>
        <w:jc w:val="center"/>
        <w:rPr>
          <w:rFonts w:ascii="仿宋" w:hAnsi="仿宋" w:eastAsia="仿宋" w:cs="宋体"/>
          <w:color w:val="000000"/>
          <w:kern w:val="0"/>
          <w:sz w:val="27"/>
          <w:szCs w:val="27"/>
        </w:rPr>
      </w:pPr>
    </w:p>
    <w:p w14:paraId="3F7B9192">
      <w:pPr>
        <w:widowControl/>
        <w:spacing w:line="360" w:lineRule="auto"/>
        <w:jc w:val="center"/>
        <w:rPr>
          <w:rFonts w:ascii="仿宋" w:hAnsi="仿宋" w:eastAsia="仿宋" w:cs="宋体"/>
          <w:b/>
          <w:color w:val="000000"/>
          <w:kern w:val="0"/>
          <w:sz w:val="48"/>
          <w:szCs w:val="27"/>
        </w:rPr>
      </w:pPr>
      <w:r>
        <w:rPr>
          <w:rFonts w:ascii="仿宋" w:hAnsi="仿宋" w:eastAsia="仿宋" w:cs="宋体"/>
          <w:b/>
          <w:color w:val="000000"/>
          <w:kern w:val="0"/>
          <w:sz w:val="48"/>
          <w:szCs w:val="27"/>
        </w:rPr>
        <w:t>政 府 采 购 项 目</w:t>
      </w:r>
    </w:p>
    <w:p w14:paraId="60024D6C">
      <w:pPr>
        <w:widowControl/>
        <w:spacing w:line="360" w:lineRule="auto"/>
        <w:jc w:val="center"/>
        <w:rPr>
          <w:rFonts w:ascii="仿宋" w:hAnsi="仿宋" w:eastAsia="仿宋" w:cs="宋体"/>
          <w:b/>
          <w:color w:val="000000"/>
          <w:kern w:val="0"/>
          <w:sz w:val="48"/>
          <w:szCs w:val="27"/>
        </w:rPr>
      </w:pPr>
      <w:r>
        <w:rPr>
          <w:rFonts w:ascii="仿宋" w:hAnsi="仿宋" w:eastAsia="仿宋" w:cs="宋体"/>
          <w:b/>
          <w:color w:val="000000"/>
          <w:kern w:val="0"/>
          <w:sz w:val="48"/>
          <w:szCs w:val="27"/>
        </w:rPr>
        <w:t>采购需求和采购实施计划</w:t>
      </w:r>
    </w:p>
    <w:p w14:paraId="61C33B72">
      <w:pPr>
        <w:widowControl/>
        <w:spacing w:line="360" w:lineRule="auto"/>
        <w:jc w:val="center"/>
        <w:rPr>
          <w:rFonts w:ascii="仿宋" w:hAnsi="仿宋" w:eastAsia="仿宋" w:cs="宋体"/>
          <w:b/>
          <w:color w:val="000000"/>
          <w:kern w:val="0"/>
          <w:sz w:val="48"/>
          <w:szCs w:val="27"/>
        </w:rPr>
      </w:pPr>
      <w:r>
        <w:rPr>
          <w:rFonts w:ascii="仿宋" w:hAnsi="仿宋" w:eastAsia="仿宋" w:cs="宋体"/>
          <w:b/>
          <w:color w:val="000000"/>
          <w:kern w:val="0"/>
          <w:sz w:val="48"/>
          <w:szCs w:val="27"/>
        </w:rPr>
        <w:t>重 点 审 查 意 见 书</w:t>
      </w:r>
    </w:p>
    <w:p w14:paraId="0223B173">
      <w:pPr>
        <w:widowControl/>
        <w:jc w:val="center"/>
        <w:rPr>
          <w:rFonts w:ascii="仿宋" w:hAnsi="仿宋" w:eastAsia="仿宋" w:cs="宋体"/>
          <w:color w:val="000000"/>
          <w:kern w:val="0"/>
          <w:sz w:val="27"/>
          <w:szCs w:val="27"/>
        </w:rPr>
      </w:pPr>
    </w:p>
    <w:p w14:paraId="45EF8D2B">
      <w:pPr>
        <w:widowControl/>
        <w:jc w:val="center"/>
        <w:rPr>
          <w:rFonts w:ascii="仿宋" w:hAnsi="仿宋" w:eastAsia="仿宋" w:cs="宋体"/>
          <w:color w:val="000000"/>
          <w:kern w:val="0"/>
          <w:sz w:val="27"/>
          <w:szCs w:val="27"/>
        </w:rPr>
      </w:pPr>
    </w:p>
    <w:p w14:paraId="5D7B6941">
      <w:pPr>
        <w:widowControl/>
        <w:jc w:val="center"/>
        <w:rPr>
          <w:rFonts w:ascii="仿宋" w:hAnsi="仿宋" w:eastAsia="仿宋" w:cs="宋体"/>
          <w:color w:val="000000"/>
          <w:kern w:val="0"/>
          <w:sz w:val="27"/>
          <w:szCs w:val="27"/>
        </w:rPr>
      </w:pPr>
    </w:p>
    <w:p w14:paraId="138F8615">
      <w:pPr>
        <w:widowControl/>
        <w:jc w:val="center"/>
        <w:rPr>
          <w:rFonts w:ascii="仿宋" w:hAnsi="仿宋" w:eastAsia="仿宋" w:cs="宋体"/>
          <w:color w:val="000000"/>
          <w:kern w:val="0"/>
          <w:sz w:val="27"/>
          <w:szCs w:val="27"/>
        </w:rPr>
      </w:pPr>
    </w:p>
    <w:p w14:paraId="4C3E0A23">
      <w:pPr>
        <w:widowControl/>
        <w:jc w:val="center"/>
        <w:rPr>
          <w:rFonts w:ascii="仿宋" w:hAnsi="仿宋" w:eastAsia="仿宋" w:cs="宋体"/>
          <w:color w:val="000000"/>
          <w:kern w:val="0"/>
          <w:sz w:val="27"/>
          <w:szCs w:val="27"/>
        </w:rPr>
      </w:pPr>
    </w:p>
    <w:p w14:paraId="4E620F7F">
      <w:pPr>
        <w:widowControl/>
        <w:jc w:val="center"/>
        <w:rPr>
          <w:rFonts w:ascii="仿宋" w:hAnsi="仿宋" w:eastAsia="仿宋" w:cs="宋体"/>
          <w:color w:val="000000"/>
          <w:kern w:val="0"/>
          <w:sz w:val="27"/>
          <w:szCs w:val="27"/>
        </w:rPr>
      </w:pPr>
    </w:p>
    <w:p w14:paraId="43C28F3A">
      <w:pPr>
        <w:widowControl/>
        <w:jc w:val="center"/>
        <w:rPr>
          <w:rFonts w:ascii="仿宋" w:hAnsi="仿宋" w:eastAsia="仿宋" w:cs="宋体"/>
          <w:color w:val="000000"/>
          <w:kern w:val="0"/>
          <w:sz w:val="27"/>
          <w:szCs w:val="27"/>
        </w:rPr>
      </w:pPr>
    </w:p>
    <w:p w14:paraId="137E868D">
      <w:pPr>
        <w:widowControl/>
        <w:ind w:left="1558" w:leftChars="742"/>
        <w:jc w:val="left"/>
        <w:rPr>
          <w:rFonts w:ascii="仿宋" w:hAnsi="仿宋" w:eastAsia="仿宋" w:cs="宋体"/>
          <w:color w:val="000000"/>
          <w:kern w:val="0"/>
          <w:sz w:val="24"/>
          <w:szCs w:val="24"/>
        </w:rPr>
      </w:pPr>
      <w:r>
        <w:rPr>
          <w:rFonts w:ascii="仿宋" w:hAnsi="仿宋" w:eastAsia="仿宋" w:cs="宋体"/>
          <w:color w:val="000000"/>
          <w:kern w:val="0"/>
          <w:sz w:val="27"/>
          <w:szCs w:val="27"/>
        </w:rPr>
        <w:t>项 目 名 称：</w:t>
      </w:r>
      <w:r>
        <w:rPr>
          <w:rFonts w:hint="eastAsia" w:ascii="宋体" w:hAnsi="宋体" w:eastAsia="宋体" w:cs="宋体"/>
          <w:color w:val="000000"/>
          <w:kern w:val="0"/>
          <w:sz w:val="27"/>
          <w:szCs w:val="27"/>
          <w:u w:val="single"/>
        </w:rPr>
        <w:t xml:space="preserve"> </w:t>
      </w:r>
      <w:r>
        <w:rPr>
          <w:rFonts w:hint="eastAsia" w:ascii="宋体" w:hAnsi="宋体" w:eastAsia="宋体" w:cs="宋体"/>
          <w:sz w:val="27"/>
          <w:szCs w:val="27"/>
          <w:highlight w:val="none"/>
          <w:u w:val="single"/>
        </w:rPr>
        <w:t>2026年塘厦镇鼎湖科技园周边道路安装交通信号灯、电子监控抓拍设备建设项目</w:t>
      </w:r>
      <w:r>
        <w:rPr>
          <w:rFonts w:hint="eastAsia" w:ascii="宋体" w:hAnsi="宋体" w:eastAsia="宋体" w:cs="宋体"/>
          <w:color w:val="000000"/>
          <w:kern w:val="0"/>
          <w:sz w:val="27"/>
          <w:szCs w:val="27"/>
          <w:u w:val="single"/>
        </w:rPr>
        <w:t xml:space="preserve"> </w:t>
      </w:r>
    </w:p>
    <w:p w14:paraId="1A8A591B">
      <w:pPr>
        <w:widowControl/>
        <w:ind w:left="1558" w:leftChars="742"/>
        <w:jc w:val="left"/>
        <w:rPr>
          <w:rFonts w:ascii="仿宋" w:hAnsi="仿宋" w:eastAsia="仿宋" w:cs="宋体"/>
          <w:color w:val="000000"/>
          <w:kern w:val="0"/>
          <w:sz w:val="24"/>
          <w:szCs w:val="24"/>
        </w:rPr>
      </w:pPr>
      <w:r>
        <w:rPr>
          <w:rFonts w:ascii="仿宋" w:hAnsi="仿宋" w:eastAsia="仿宋" w:cs="宋体"/>
          <w:color w:val="000000"/>
          <w:kern w:val="0"/>
          <w:sz w:val="27"/>
          <w:szCs w:val="27"/>
        </w:rPr>
        <w:t>采 购 单 位：</w:t>
      </w:r>
      <w:r>
        <w:rPr>
          <w:rFonts w:hint="eastAsia" w:ascii="宋体" w:hAnsi="宋体" w:eastAsia="宋体" w:cs="宋体"/>
          <w:color w:val="000000"/>
          <w:kern w:val="0"/>
          <w:sz w:val="27"/>
          <w:szCs w:val="27"/>
          <w:u w:val="single"/>
        </w:rPr>
        <w:t xml:space="preserve"> </w:t>
      </w:r>
      <w:r>
        <w:rPr>
          <w:rFonts w:hint="eastAsia" w:ascii="宋体" w:hAnsi="宋体" w:eastAsia="宋体" w:cs="宋体"/>
          <w:color w:val="000000"/>
          <w:kern w:val="0"/>
          <w:sz w:val="27"/>
          <w:szCs w:val="27"/>
          <w:u w:val="single"/>
          <w:lang w:eastAsia="zh-CN"/>
        </w:rPr>
        <w:t>东莞市公安局交通管理支队塘厦大队</w:t>
      </w:r>
      <w:r>
        <w:rPr>
          <w:rFonts w:hint="eastAsia" w:ascii="宋体" w:hAnsi="宋体" w:eastAsia="宋体" w:cs="宋体"/>
          <w:color w:val="000000"/>
          <w:kern w:val="0"/>
          <w:sz w:val="27"/>
          <w:szCs w:val="27"/>
          <w:u w:val="single"/>
        </w:rPr>
        <w:t xml:space="preserve"> </w:t>
      </w:r>
    </w:p>
    <w:p w14:paraId="7DD67110">
      <w:pPr>
        <w:widowControl/>
        <w:ind w:left="1558" w:leftChars="742"/>
        <w:jc w:val="left"/>
        <w:rPr>
          <w:rFonts w:ascii="仿宋" w:hAnsi="仿宋" w:eastAsia="仿宋" w:cs="宋体"/>
          <w:color w:val="000000"/>
          <w:kern w:val="0"/>
          <w:sz w:val="24"/>
          <w:szCs w:val="24"/>
        </w:rPr>
      </w:pPr>
      <w:r>
        <w:rPr>
          <w:rFonts w:ascii="仿宋" w:hAnsi="仿宋" w:eastAsia="仿宋" w:cs="宋体"/>
          <w:color w:val="000000"/>
          <w:kern w:val="0"/>
          <w:sz w:val="27"/>
          <w:szCs w:val="27"/>
        </w:rPr>
        <w:t>审 查 时 间：</w:t>
      </w:r>
      <w:r>
        <w:rPr>
          <w:rFonts w:hint="eastAsia" w:ascii="宋体" w:hAnsi="宋体" w:eastAsia="宋体" w:cs="宋体"/>
          <w:color w:val="000000"/>
          <w:kern w:val="0"/>
          <w:sz w:val="27"/>
          <w:szCs w:val="27"/>
          <w:u w:val="single"/>
        </w:rPr>
        <w:t xml:space="preserve">  </w:t>
      </w:r>
      <w:r>
        <w:rPr>
          <w:rFonts w:hint="eastAsia" w:ascii="宋体" w:hAnsi="宋体" w:eastAsia="宋体" w:cs="宋体"/>
          <w:color w:val="000000"/>
          <w:kern w:val="0"/>
          <w:sz w:val="27"/>
          <w:szCs w:val="27"/>
          <w:u w:val="single"/>
          <w:lang w:val="en-US" w:eastAsia="zh-CN"/>
        </w:rPr>
        <w:t>2026年1月</w:t>
      </w:r>
      <w:r>
        <w:rPr>
          <w:rFonts w:hint="eastAsia" w:ascii="宋体" w:hAnsi="宋体" w:eastAsia="宋体" w:cs="宋体"/>
          <w:color w:val="000000"/>
          <w:kern w:val="0"/>
          <w:sz w:val="27"/>
          <w:szCs w:val="27"/>
          <w:u w:val="single"/>
        </w:rPr>
        <w:t xml:space="preserve"> </w:t>
      </w:r>
    </w:p>
    <w:p w14:paraId="24A0A696">
      <w:pPr>
        <w:widowControl/>
        <w:jc w:val="left"/>
        <w:rPr>
          <w:rFonts w:ascii="宋体" w:hAnsi="宋体" w:eastAsia="宋体" w:cs="宋体"/>
          <w:color w:val="000000"/>
          <w:kern w:val="0"/>
          <w:sz w:val="27"/>
          <w:szCs w:val="27"/>
        </w:rPr>
      </w:pPr>
    </w:p>
    <w:p w14:paraId="69371EEA">
      <w:pPr>
        <w:widowControl/>
        <w:jc w:val="left"/>
        <w:rPr>
          <w:rFonts w:ascii="仿宋" w:hAnsi="仿宋" w:eastAsia="仿宋" w:cs="宋体"/>
          <w:kern w:val="0"/>
          <w:sz w:val="24"/>
          <w:szCs w:val="24"/>
        </w:rPr>
      </w:pPr>
    </w:p>
    <w:p w14:paraId="3B8F148E">
      <w:pPr>
        <w:widowControl/>
        <w:jc w:val="left"/>
        <w:rPr>
          <w:rFonts w:ascii="仿宋" w:hAnsi="仿宋" w:eastAsia="仿宋" w:cs="宋体"/>
          <w:color w:val="000000"/>
          <w:kern w:val="0"/>
          <w:sz w:val="27"/>
          <w:szCs w:val="27"/>
        </w:rPr>
      </w:pPr>
      <w:r>
        <w:rPr>
          <w:rFonts w:ascii="仿宋" w:hAnsi="仿宋" w:eastAsia="仿宋" w:cs="宋体"/>
          <w:color w:val="000000"/>
          <w:kern w:val="0"/>
          <w:sz w:val="27"/>
          <w:szCs w:val="27"/>
        </w:rPr>
        <w:br w:type="page"/>
      </w:r>
    </w:p>
    <w:p w14:paraId="58B2FC91">
      <w:pPr>
        <w:widowControl/>
        <w:jc w:val="center"/>
        <w:rPr>
          <w:rFonts w:cs="宋体" w:asciiTheme="minorEastAsia" w:hAnsiTheme="minorEastAsia"/>
          <w:b/>
          <w:color w:val="000000"/>
          <w:kern w:val="0"/>
          <w:sz w:val="24"/>
          <w:szCs w:val="24"/>
        </w:rPr>
      </w:pPr>
      <w:r>
        <w:rPr>
          <w:rFonts w:cs="宋体" w:asciiTheme="minorEastAsia" w:hAnsiTheme="minorEastAsia"/>
          <w:b/>
          <w:color w:val="000000"/>
          <w:kern w:val="0"/>
          <w:sz w:val="24"/>
          <w:szCs w:val="24"/>
        </w:rPr>
        <w:t>审 查 说 明</w:t>
      </w:r>
    </w:p>
    <w:p w14:paraId="050E4CDE">
      <w:pPr>
        <w:widowControl/>
        <w:ind w:firstLine="480" w:firstLineChars="200"/>
        <w:jc w:val="left"/>
        <w:rPr>
          <w:rFonts w:cs="宋体" w:asciiTheme="minorEastAsia" w:hAnsiTheme="minorEastAsia"/>
          <w:color w:val="000000"/>
          <w:kern w:val="0"/>
          <w:sz w:val="24"/>
          <w:szCs w:val="24"/>
        </w:rPr>
      </w:pPr>
    </w:p>
    <w:p w14:paraId="72180D47">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一、采购人应当建立审查工作机制，在采购活动开始前，针对采购需求管理中的重点风险事项，对采购需求和采购实施计划进行审查。</w:t>
      </w:r>
    </w:p>
    <w:p w14:paraId="75A451DF">
      <w:pPr>
        <w:widowControl/>
        <w:ind w:firstLine="482" w:firstLineChars="200"/>
        <w:jc w:val="left"/>
        <w:rPr>
          <w:rFonts w:cs="宋体" w:asciiTheme="minorEastAsia" w:hAnsiTheme="minorEastAsia"/>
          <w:color w:val="000000"/>
          <w:kern w:val="0"/>
          <w:sz w:val="24"/>
          <w:szCs w:val="24"/>
        </w:rPr>
      </w:pPr>
      <w:r>
        <w:rPr>
          <w:rFonts w:cs="宋体" w:asciiTheme="minorEastAsia" w:hAnsiTheme="minorEastAsia"/>
          <w:b/>
          <w:bCs/>
          <w:color w:val="000000"/>
          <w:kern w:val="0"/>
          <w:sz w:val="24"/>
          <w:szCs w:val="24"/>
        </w:rPr>
        <w:t>二、重点审查应在一般性审查通过的基础上再进行。</w:t>
      </w:r>
    </w:p>
    <w:p w14:paraId="6B05034B">
      <w:pPr>
        <w:widowControl/>
        <w:ind w:firstLine="482" w:firstLineChars="200"/>
        <w:jc w:val="left"/>
        <w:rPr>
          <w:rFonts w:cs="宋体" w:asciiTheme="minorEastAsia" w:hAnsiTheme="minorEastAsia"/>
          <w:color w:val="000000"/>
          <w:kern w:val="0"/>
          <w:sz w:val="24"/>
          <w:szCs w:val="24"/>
        </w:rPr>
      </w:pPr>
      <w:r>
        <w:rPr>
          <w:rFonts w:cs="宋体" w:asciiTheme="minorEastAsia" w:hAnsiTheme="minorEastAsia"/>
          <w:b/>
          <w:bCs/>
          <w:color w:val="000000"/>
          <w:kern w:val="0"/>
          <w:sz w:val="24"/>
          <w:szCs w:val="24"/>
        </w:rPr>
        <w:t>三、主管预算单位可以根据本部门实际情况，确定由主管预算单位统一组织重点审查的项目类别或者金额范围。</w:t>
      </w:r>
      <w:r>
        <w:rPr>
          <w:rFonts w:cs="宋体" w:asciiTheme="minorEastAsia" w:hAnsiTheme="minorEastAsia"/>
          <w:color w:val="000000"/>
          <w:kern w:val="0"/>
          <w:sz w:val="24"/>
          <w:szCs w:val="24"/>
        </w:rPr>
        <w:t>属于《财政部关于印发政府采购需求管理办法的通知》（财库〔2021〕22号）第十一条规定范围的采购项目，应当开展重点审查。</w:t>
      </w:r>
    </w:p>
    <w:p w14:paraId="63210C90">
      <w:pPr>
        <w:widowControl/>
        <w:spacing w:line="360" w:lineRule="auto"/>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四、审查应当符合《财政部关于印发政府采购需求管理办法的通知》（财库〔2021〕22号）要求及政府采购的相关规定。</w:t>
      </w:r>
    </w:p>
    <w:p w14:paraId="3E4CCD7E">
      <w:pPr>
        <w:widowControl/>
        <w:spacing w:line="360" w:lineRule="auto"/>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五、对于审查不通过的，应当修改采购需求和采购实施计划的内容并重新进行审查。</w:t>
      </w:r>
    </w:p>
    <w:p w14:paraId="1CCFC0DA">
      <w:pPr>
        <w:widowControl/>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六、斜体字部分属于提醒内容，编制时应删除。</w:t>
      </w:r>
    </w:p>
    <w:p w14:paraId="67031E20">
      <w:pPr>
        <w:widowControl/>
        <w:spacing w:line="360" w:lineRule="auto"/>
        <w:ind w:firstLine="480" w:firstLineChars="200"/>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七、对不适用的内容应删除，并调整相应序号。</w:t>
      </w:r>
    </w:p>
    <w:p w14:paraId="5169B29E">
      <w:pPr>
        <w:widowControl/>
        <w:jc w:val="left"/>
        <w:rPr>
          <w:rFonts w:ascii="仿宋" w:hAnsi="仿宋" w:eastAsia="仿宋" w:cs="宋体"/>
          <w:color w:val="000000"/>
          <w:kern w:val="0"/>
          <w:sz w:val="27"/>
          <w:szCs w:val="27"/>
        </w:rPr>
      </w:pPr>
    </w:p>
    <w:p w14:paraId="0BBB1159">
      <w:pPr>
        <w:widowControl/>
        <w:jc w:val="left"/>
        <w:rPr>
          <w:rFonts w:ascii="仿宋" w:hAnsi="仿宋" w:eastAsia="仿宋" w:cs="宋体"/>
          <w:color w:val="000000"/>
          <w:kern w:val="0"/>
          <w:sz w:val="27"/>
          <w:szCs w:val="27"/>
        </w:rPr>
      </w:pPr>
      <w:r>
        <w:rPr>
          <w:rFonts w:ascii="仿宋" w:hAnsi="仿宋" w:eastAsia="仿宋" w:cs="宋体"/>
          <w:color w:val="000000"/>
          <w:kern w:val="0"/>
          <w:sz w:val="27"/>
          <w:szCs w:val="27"/>
        </w:rPr>
        <w:br w:type="page"/>
      </w:r>
    </w:p>
    <w:p w14:paraId="5B2FA907">
      <w:pPr>
        <w:widowControl/>
        <w:ind w:firstLine="482" w:firstLineChars="200"/>
        <w:jc w:val="left"/>
        <w:rPr>
          <w:rFonts w:cs="宋体" w:asciiTheme="minorEastAsia" w:hAnsiTheme="minorEastAsia"/>
          <w:b/>
          <w:color w:val="000000"/>
          <w:kern w:val="0"/>
          <w:sz w:val="24"/>
          <w:szCs w:val="24"/>
        </w:rPr>
      </w:pPr>
      <w:r>
        <w:rPr>
          <w:rFonts w:hint="eastAsia" w:cs="宋体" w:asciiTheme="minorEastAsia" w:hAnsiTheme="minorEastAsia"/>
          <w:b/>
          <w:color w:val="000000"/>
          <w:kern w:val="0"/>
          <w:sz w:val="24"/>
          <w:szCs w:val="24"/>
        </w:rPr>
        <w:t>一、审查项目情况</w:t>
      </w:r>
    </w:p>
    <w:p w14:paraId="740B901B">
      <w:pPr>
        <w:widowControl/>
        <w:ind w:firstLine="482" w:firstLineChars="200"/>
        <w:jc w:val="left"/>
        <w:rPr>
          <w:rFonts w:cs="宋体" w:asciiTheme="minorEastAsia" w:hAnsiTheme="minorEastAsia"/>
          <w:color w:val="000000"/>
          <w:kern w:val="0"/>
          <w:sz w:val="24"/>
          <w:szCs w:val="24"/>
        </w:rPr>
      </w:pPr>
      <w:r>
        <w:rPr>
          <w:rFonts w:hint="eastAsia" w:cs="宋体" w:asciiTheme="minorEastAsia" w:hAnsiTheme="minorEastAsia"/>
          <w:b/>
          <w:color w:val="000000"/>
          <w:kern w:val="0"/>
          <w:sz w:val="24"/>
          <w:szCs w:val="24"/>
        </w:rPr>
        <w:t>（一）审查项目</w:t>
      </w:r>
      <w:r>
        <w:rPr>
          <w:rFonts w:hint="eastAsia" w:cs="宋体" w:asciiTheme="minorEastAsia" w:hAnsiTheme="minorEastAsia"/>
          <w:b/>
          <w:bCs w:val="0"/>
          <w:color w:val="000000"/>
          <w:kern w:val="0"/>
          <w:sz w:val="24"/>
          <w:szCs w:val="24"/>
        </w:rPr>
        <w:t>名称</w:t>
      </w:r>
      <w:r>
        <w:rPr>
          <w:rFonts w:hint="eastAsia" w:cs="宋体" w:asciiTheme="minorEastAsia" w:hAnsiTheme="minorEastAsia"/>
          <w:color w:val="000000"/>
          <w:kern w:val="0"/>
          <w:sz w:val="24"/>
          <w:szCs w:val="24"/>
        </w:rPr>
        <w:t>：</w:t>
      </w:r>
      <w:r>
        <w:rPr>
          <w:rFonts w:hint="eastAsia" w:cs="宋体" w:asciiTheme="minorEastAsia" w:hAnsiTheme="minorEastAsia"/>
          <w:color w:val="000000"/>
          <w:kern w:val="0"/>
          <w:sz w:val="24"/>
          <w:szCs w:val="24"/>
          <w:u w:val="single"/>
        </w:rPr>
        <w:t xml:space="preserve"> </w:t>
      </w:r>
      <w:r>
        <w:rPr>
          <w:rFonts w:hint="eastAsia" w:ascii="宋体" w:hAnsi="宋体" w:eastAsia="宋体" w:cs="宋体"/>
          <w:sz w:val="24"/>
          <w:szCs w:val="24"/>
          <w:highlight w:val="none"/>
          <w:u w:val="single"/>
        </w:rPr>
        <w:t>2026年塘厦镇鼎湖科技园周边道路安装交通信号灯、电子监控抓拍设备建设项目</w:t>
      </w:r>
      <w:r>
        <w:rPr>
          <w:rFonts w:hint="eastAsia" w:cs="宋体" w:asciiTheme="minorEastAsia" w:hAnsiTheme="minorEastAsia"/>
          <w:color w:val="000000"/>
          <w:kern w:val="0"/>
          <w:sz w:val="24"/>
          <w:szCs w:val="24"/>
          <w:u w:val="single"/>
        </w:rPr>
        <w:t xml:space="preserve"> </w:t>
      </w:r>
    </w:p>
    <w:p w14:paraId="5998155B">
      <w:pPr>
        <w:widowControl/>
        <w:ind w:firstLine="482" w:firstLineChars="200"/>
        <w:jc w:val="left"/>
        <w:rPr>
          <w:rFonts w:cs="宋体" w:asciiTheme="minorEastAsia" w:hAnsiTheme="minorEastAsia"/>
          <w:b/>
          <w:color w:val="000000"/>
          <w:kern w:val="0"/>
          <w:sz w:val="24"/>
          <w:szCs w:val="24"/>
        </w:rPr>
      </w:pPr>
      <w:r>
        <w:rPr>
          <w:rFonts w:hint="eastAsia" w:cs="宋体" w:asciiTheme="minorEastAsia" w:hAnsiTheme="minorEastAsia"/>
          <w:b/>
          <w:color w:val="000000"/>
          <w:kern w:val="0"/>
          <w:sz w:val="24"/>
          <w:szCs w:val="24"/>
        </w:rPr>
        <w:t>（二）审查对象：</w:t>
      </w:r>
    </w:p>
    <w:p w14:paraId="017403E7">
      <w:pPr>
        <w:widowControl/>
        <w:ind w:firstLine="480" w:firstLineChars="20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1.采购需求</w:t>
      </w:r>
    </w:p>
    <w:p w14:paraId="1008FBFF">
      <w:pPr>
        <w:widowControl/>
        <w:ind w:firstLine="480" w:firstLineChars="200"/>
        <w:jc w:val="left"/>
        <w:rPr>
          <w:rFonts w:cs="宋体" w:asciiTheme="minorEastAsia" w:hAnsiTheme="minorEastAsia"/>
          <w:color w:val="000000"/>
          <w:kern w:val="0"/>
          <w:sz w:val="24"/>
          <w:szCs w:val="24"/>
          <w:u w:val="single"/>
        </w:rPr>
      </w:pPr>
      <w:r>
        <w:rPr>
          <w:rFonts w:hint="eastAsia" w:cs="宋体" w:asciiTheme="minorEastAsia" w:hAnsiTheme="minorEastAsia"/>
          <w:color w:val="000000"/>
          <w:kern w:val="0"/>
          <w:sz w:val="24"/>
          <w:szCs w:val="24"/>
        </w:rPr>
        <w:t>（1）参与确定采购需求的专家、第三方机构：</w:t>
      </w:r>
      <w:r>
        <w:rPr>
          <w:rFonts w:hint="eastAsia" w:cs="宋体" w:asciiTheme="minorEastAsia" w:hAnsiTheme="minorEastAsia"/>
          <w:color w:val="000000"/>
          <w:kern w:val="0"/>
          <w:sz w:val="24"/>
          <w:szCs w:val="24"/>
          <w:u w:val="single"/>
        </w:rPr>
        <w:t xml:space="preserve"> </w:t>
      </w:r>
      <w:r>
        <w:rPr>
          <w:rFonts w:hint="eastAsia" w:cs="宋体" w:asciiTheme="minorEastAsia" w:hAnsiTheme="minorEastAsia"/>
          <w:color w:val="000000"/>
          <w:kern w:val="0"/>
          <w:sz w:val="24"/>
          <w:szCs w:val="24"/>
          <w:u w:val="single"/>
          <w:lang w:val="en-US" w:eastAsia="zh-CN"/>
        </w:rPr>
        <w:t>/</w:t>
      </w:r>
      <w:r>
        <w:rPr>
          <w:rFonts w:hint="eastAsia" w:cs="宋体" w:asciiTheme="minorEastAsia" w:hAnsiTheme="minorEastAsia"/>
          <w:color w:val="000000"/>
          <w:kern w:val="0"/>
          <w:sz w:val="24"/>
          <w:szCs w:val="24"/>
          <w:u w:val="single"/>
        </w:rPr>
        <w:t xml:space="preserve"> </w:t>
      </w:r>
    </w:p>
    <w:p w14:paraId="4ECF7D1D">
      <w:pPr>
        <w:widowControl/>
        <w:ind w:firstLine="480" w:firstLineChars="20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（2）采购需求版次：</w:t>
      </w:r>
      <w:r>
        <w:rPr>
          <w:rFonts w:hint="eastAsia" w:cs="宋体" w:asciiTheme="minorEastAsia" w:hAnsiTheme="minorEastAsia"/>
          <w:color w:val="000000"/>
          <w:kern w:val="0"/>
          <w:sz w:val="24"/>
          <w:szCs w:val="24"/>
          <w:u w:val="single"/>
        </w:rPr>
        <w:t>20</w:t>
      </w:r>
      <w:r>
        <w:rPr>
          <w:rFonts w:hint="eastAsia" w:cs="宋体" w:asciiTheme="minorEastAsia" w:hAnsiTheme="minorEastAsia"/>
          <w:color w:val="000000"/>
          <w:kern w:val="0"/>
          <w:sz w:val="24"/>
          <w:szCs w:val="24"/>
          <w:u w:val="single"/>
          <w:lang w:val="en-US" w:eastAsia="zh-CN"/>
        </w:rPr>
        <w:t>26</w:t>
      </w:r>
      <w:r>
        <w:rPr>
          <w:rFonts w:hint="eastAsia" w:cs="宋体" w:asciiTheme="minorEastAsia" w:hAnsiTheme="minorEastAsia"/>
          <w:color w:val="000000"/>
          <w:kern w:val="0"/>
          <w:sz w:val="24"/>
          <w:szCs w:val="24"/>
          <w:u w:val="single"/>
        </w:rPr>
        <w:t>年</w:t>
      </w:r>
      <w:r>
        <w:rPr>
          <w:rFonts w:hint="eastAsia" w:cs="宋体" w:asciiTheme="minorEastAsia" w:hAnsiTheme="minorEastAsia"/>
          <w:color w:val="000000"/>
          <w:kern w:val="0"/>
          <w:sz w:val="24"/>
          <w:szCs w:val="24"/>
          <w:u w:val="single"/>
          <w:lang w:val="en-US" w:eastAsia="zh-CN"/>
        </w:rPr>
        <w:t>1</w:t>
      </w:r>
      <w:r>
        <w:rPr>
          <w:rFonts w:hint="eastAsia" w:cs="宋体" w:asciiTheme="minorEastAsia" w:hAnsiTheme="minorEastAsia"/>
          <w:color w:val="000000"/>
          <w:kern w:val="0"/>
          <w:sz w:val="24"/>
          <w:szCs w:val="24"/>
          <w:u w:val="single"/>
        </w:rPr>
        <w:t>月（第</w:t>
      </w:r>
      <w:r>
        <w:rPr>
          <w:rFonts w:hint="eastAsia" w:cs="宋体" w:asciiTheme="minorEastAsia" w:hAnsiTheme="minorEastAsia"/>
          <w:color w:val="000000"/>
          <w:kern w:val="0"/>
          <w:sz w:val="24"/>
          <w:szCs w:val="24"/>
          <w:u w:val="single"/>
          <w:lang w:val="en-US" w:eastAsia="zh-CN"/>
        </w:rPr>
        <w:t>1</w:t>
      </w:r>
      <w:r>
        <w:rPr>
          <w:rFonts w:hint="eastAsia" w:cs="宋体" w:asciiTheme="minorEastAsia" w:hAnsiTheme="minorEastAsia"/>
          <w:color w:val="000000"/>
          <w:kern w:val="0"/>
          <w:sz w:val="24"/>
          <w:szCs w:val="24"/>
          <w:u w:val="single"/>
        </w:rPr>
        <w:t>版）</w:t>
      </w:r>
    </w:p>
    <w:p w14:paraId="31B02E96">
      <w:pPr>
        <w:widowControl/>
        <w:ind w:firstLine="480" w:firstLineChars="20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2.采购实施计划</w:t>
      </w:r>
    </w:p>
    <w:p w14:paraId="658CF732">
      <w:pPr>
        <w:widowControl/>
        <w:ind w:firstLine="480" w:firstLineChars="200"/>
        <w:jc w:val="left"/>
        <w:rPr>
          <w:rFonts w:cs="宋体" w:asciiTheme="minorEastAsia" w:hAnsiTheme="minorEastAsia"/>
          <w:color w:val="000000"/>
          <w:kern w:val="0"/>
          <w:sz w:val="24"/>
          <w:szCs w:val="24"/>
          <w:u w:val="single"/>
        </w:rPr>
      </w:pPr>
      <w:r>
        <w:rPr>
          <w:rFonts w:hint="eastAsia" w:cs="宋体" w:asciiTheme="minorEastAsia" w:hAnsiTheme="minorEastAsia"/>
          <w:color w:val="000000"/>
          <w:kern w:val="0"/>
          <w:sz w:val="24"/>
          <w:szCs w:val="24"/>
        </w:rPr>
        <w:t>（1）参与确定采购需求的专家、第三方机构：</w:t>
      </w:r>
      <w:r>
        <w:rPr>
          <w:rFonts w:hint="eastAsia" w:cs="宋体" w:asciiTheme="minorEastAsia" w:hAnsiTheme="minorEastAsia"/>
          <w:color w:val="000000"/>
          <w:kern w:val="0"/>
          <w:sz w:val="24"/>
          <w:szCs w:val="24"/>
          <w:u w:val="single"/>
        </w:rPr>
        <w:t xml:space="preserve"> </w:t>
      </w:r>
      <w:r>
        <w:rPr>
          <w:rFonts w:hint="eastAsia" w:cs="宋体" w:asciiTheme="minorEastAsia" w:hAnsiTheme="minorEastAsia"/>
          <w:color w:val="000000"/>
          <w:kern w:val="0"/>
          <w:sz w:val="24"/>
          <w:szCs w:val="24"/>
          <w:u w:val="single"/>
          <w:lang w:val="en-US" w:eastAsia="zh-CN"/>
        </w:rPr>
        <w:t>/</w:t>
      </w:r>
      <w:r>
        <w:rPr>
          <w:rFonts w:hint="eastAsia" w:cs="宋体" w:asciiTheme="minorEastAsia" w:hAnsiTheme="minorEastAsia"/>
          <w:color w:val="000000"/>
          <w:kern w:val="0"/>
          <w:sz w:val="24"/>
          <w:szCs w:val="24"/>
          <w:u w:val="single"/>
        </w:rPr>
        <w:t xml:space="preserve"> </w:t>
      </w:r>
    </w:p>
    <w:p w14:paraId="734012D7">
      <w:pPr>
        <w:widowControl/>
        <w:ind w:firstLine="480" w:firstLineChars="20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（2）采购需求版次：</w:t>
      </w:r>
      <w:r>
        <w:rPr>
          <w:rFonts w:hint="eastAsia" w:cs="宋体" w:asciiTheme="minorEastAsia" w:hAnsiTheme="minorEastAsia"/>
          <w:color w:val="000000"/>
          <w:kern w:val="0"/>
          <w:sz w:val="24"/>
          <w:szCs w:val="24"/>
          <w:u w:val="single"/>
        </w:rPr>
        <w:t>20</w:t>
      </w:r>
      <w:r>
        <w:rPr>
          <w:rFonts w:hint="eastAsia" w:cs="宋体" w:asciiTheme="minorEastAsia" w:hAnsiTheme="minorEastAsia"/>
          <w:color w:val="000000"/>
          <w:kern w:val="0"/>
          <w:sz w:val="24"/>
          <w:szCs w:val="24"/>
          <w:u w:val="single"/>
          <w:lang w:val="en-US" w:eastAsia="zh-CN"/>
        </w:rPr>
        <w:t>26</w:t>
      </w:r>
      <w:r>
        <w:rPr>
          <w:rFonts w:hint="eastAsia" w:cs="宋体" w:asciiTheme="minorEastAsia" w:hAnsiTheme="minorEastAsia"/>
          <w:color w:val="000000"/>
          <w:kern w:val="0"/>
          <w:sz w:val="24"/>
          <w:szCs w:val="24"/>
          <w:u w:val="single"/>
        </w:rPr>
        <w:t>年</w:t>
      </w:r>
      <w:r>
        <w:rPr>
          <w:rFonts w:hint="eastAsia" w:cs="宋体" w:asciiTheme="minorEastAsia" w:hAnsiTheme="minorEastAsia"/>
          <w:color w:val="000000"/>
          <w:kern w:val="0"/>
          <w:sz w:val="24"/>
          <w:szCs w:val="24"/>
          <w:u w:val="single"/>
          <w:lang w:val="en-US" w:eastAsia="zh-CN"/>
        </w:rPr>
        <w:t>1</w:t>
      </w:r>
      <w:r>
        <w:rPr>
          <w:rFonts w:hint="eastAsia" w:cs="宋体" w:asciiTheme="minorEastAsia" w:hAnsiTheme="minorEastAsia"/>
          <w:color w:val="000000"/>
          <w:kern w:val="0"/>
          <w:sz w:val="24"/>
          <w:szCs w:val="24"/>
          <w:u w:val="single"/>
        </w:rPr>
        <w:t>月（第</w:t>
      </w:r>
      <w:r>
        <w:rPr>
          <w:rFonts w:hint="eastAsia" w:cs="宋体" w:asciiTheme="minorEastAsia" w:hAnsiTheme="minorEastAsia"/>
          <w:color w:val="000000"/>
          <w:kern w:val="0"/>
          <w:sz w:val="24"/>
          <w:szCs w:val="24"/>
          <w:u w:val="single"/>
          <w:lang w:val="en-US" w:eastAsia="zh-CN"/>
        </w:rPr>
        <w:t>1</w:t>
      </w:r>
      <w:r>
        <w:rPr>
          <w:rFonts w:hint="eastAsia" w:cs="宋体" w:asciiTheme="minorEastAsia" w:hAnsiTheme="minorEastAsia"/>
          <w:color w:val="000000"/>
          <w:kern w:val="0"/>
          <w:sz w:val="24"/>
          <w:szCs w:val="24"/>
          <w:u w:val="single"/>
        </w:rPr>
        <w:t>版）</w:t>
      </w:r>
    </w:p>
    <w:p w14:paraId="74B16DD8">
      <w:pPr>
        <w:widowControl/>
        <w:ind w:firstLine="480" w:firstLineChars="200"/>
        <w:jc w:val="left"/>
        <w:rPr>
          <w:rFonts w:cs="宋体" w:asciiTheme="minorEastAsia" w:hAnsiTheme="minorEastAsia"/>
          <w:color w:val="000000"/>
          <w:kern w:val="0"/>
          <w:sz w:val="24"/>
          <w:szCs w:val="24"/>
        </w:rPr>
      </w:pPr>
    </w:p>
    <w:p w14:paraId="4DAF98A5">
      <w:pPr>
        <w:widowControl/>
        <w:ind w:firstLine="482" w:firstLineChars="200"/>
        <w:jc w:val="left"/>
        <w:rPr>
          <w:rFonts w:cs="宋体" w:asciiTheme="minorEastAsia" w:hAnsiTheme="minorEastAsia"/>
          <w:b/>
          <w:color w:val="000000"/>
          <w:kern w:val="0"/>
          <w:sz w:val="24"/>
          <w:szCs w:val="24"/>
        </w:rPr>
      </w:pPr>
      <w:r>
        <w:rPr>
          <w:rFonts w:hint="eastAsia" w:cs="宋体" w:asciiTheme="minorEastAsia" w:hAnsiTheme="minorEastAsia"/>
          <w:b/>
          <w:color w:val="000000"/>
          <w:kern w:val="0"/>
          <w:sz w:val="24"/>
          <w:szCs w:val="24"/>
        </w:rPr>
        <w:t>二、审查人员</w:t>
      </w:r>
    </w:p>
    <w:tbl>
      <w:tblPr>
        <w:tblStyle w:val="7"/>
        <w:tblW w:w="0" w:type="auto"/>
        <w:jc w:val="center"/>
        <w:tblLayout w:type="autofit"/>
        <w:tblCellMar>
          <w:top w:w="0" w:type="dxa"/>
          <w:left w:w="0" w:type="dxa"/>
          <w:bottom w:w="0" w:type="dxa"/>
          <w:right w:w="0" w:type="dxa"/>
        </w:tblCellMar>
      </w:tblPr>
      <w:tblGrid>
        <w:gridCol w:w="869"/>
        <w:gridCol w:w="950"/>
        <w:gridCol w:w="950"/>
        <w:gridCol w:w="1422"/>
        <w:gridCol w:w="1642"/>
        <w:gridCol w:w="1692"/>
        <w:gridCol w:w="997"/>
      </w:tblGrid>
      <w:tr w14:paraId="1B22747E">
        <w:tblPrEx>
          <w:tblCellMar>
            <w:top w:w="0" w:type="dxa"/>
            <w:left w:w="0" w:type="dxa"/>
            <w:bottom w:w="0" w:type="dxa"/>
            <w:right w:w="0" w:type="dxa"/>
          </w:tblCellMar>
        </w:tblPrEx>
        <w:trPr>
          <w:jc w:val="center"/>
        </w:trPr>
        <w:tc>
          <w:tcPr>
            <w:tcW w:w="905"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60FC46F4">
            <w:pPr>
              <w:jc w:val="center"/>
              <w:rPr>
                <w:rFonts w:cs="宋体" w:asciiTheme="minorEastAsia" w:hAnsiTheme="minorEastAsia"/>
                <w:b/>
                <w:bCs/>
                <w:kern w:val="0"/>
                <w:sz w:val="24"/>
                <w:szCs w:val="24"/>
              </w:rPr>
            </w:pPr>
            <w:r>
              <w:rPr>
                <w:rFonts w:cs="宋体" w:asciiTheme="minorEastAsia" w:hAnsiTheme="minorEastAsia"/>
                <w:b/>
                <w:bCs/>
                <w:kern w:val="0"/>
                <w:sz w:val="24"/>
                <w:szCs w:val="24"/>
              </w:rPr>
              <w:t>序号</w:t>
            </w:r>
          </w:p>
        </w:tc>
        <w:tc>
          <w:tcPr>
            <w:tcW w:w="992" w:type="dxa"/>
            <w:tcBorders>
              <w:top w:val="single" w:color="000000" w:sz="8" w:space="0"/>
              <w:left w:val="nil"/>
              <w:bottom w:val="single" w:color="000000" w:sz="8" w:space="0"/>
              <w:right w:val="single" w:color="auto" w:sz="8" w:space="0"/>
            </w:tcBorders>
            <w:tcMar>
              <w:top w:w="0" w:type="dxa"/>
              <w:left w:w="108" w:type="dxa"/>
              <w:bottom w:w="0" w:type="dxa"/>
              <w:right w:w="108" w:type="dxa"/>
            </w:tcMar>
            <w:vAlign w:val="center"/>
          </w:tcPr>
          <w:p w14:paraId="518ADC67">
            <w:pPr>
              <w:jc w:val="center"/>
              <w:rPr>
                <w:rFonts w:cs="宋体" w:asciiTheme="minorEastAsia" w:hAnsiTheme="minorEastAsia"/>
                <w:b/>
                <w:bCs/>
                <w:kern w:val="0"/>
                <w:sz w:val="24"/>
                <w:szCs w:val="24"/>
              </w:rPr>
            </w:pPr>
            <w:r>
              <w:rPr>
                <w:rFonts w:cs="宋体" w:asciiTheme="minorEastAsia" w:hAnsiTheme="minorEastAsia"/>
                <w:b/>
                <w:bCs/>
                <w:kern w:val="0"/>
                <w:sz w:val="24"/>
                <w:szCs w:val="24"/>
              </w:rPr>
              <w:t>姓名</w:t>
            </w:r>
          </w:p>
        </w:tc>
        <w:tc>
          <w:tcPr>
            <w:tcW w:w="993" w:type="dxa"/>
            <w:tcBorders>
              <w:top w:val="single" w:color="000000" w:sz="8" w:space="0"/>
              <w:left w:val="nil"/>
              <w:bottom w:val="single" w:color="000000" w:sz="8" w:space="0"/>
              <w:right w:val="single" w:color="000000" w:sz="8" w:space="0"/>
            </w:tcBorders>
            <w:tcMar>
              <w:top w:w="0" w:type="dxa"/>
              <w:left w:w="108" w:type="dxa"/>
              <w:bottom w:w="0" w:type="dxa"/>
              <w:right w:w="108" w:type="dxa"/>
            </w:tcMar>
            <w:vAlign w:val="center"/>
          </w:tcPr>
          <w:p w14:paraId="3053429C">
            <w:pPr>
              <w:jc w:val="center"/>
              <w:rPr>
                <w:rFonts w:cs="宋体" w:asciiTheme="minorEastAsia" w:hAnsiTheme="minorEastAsia"/>
                <w:b/>
                <w:bCs/>
                <w:kern w:val="0"/>
                <w:sz w:val="24"/>
                <w:szCs w:val="24"/>
              </w:rPr>
            </w:pPr>
            <w:r>
              <w:rPr>
                <w:rFonts w:cs="宋体" w:asciiTheme="minorEastAsia" w:hAnsiTheme="minorEastAsia"/>
                <w:b/>
                <w:bCs/>
                <w:kern w:val="0"/>
                <w:sz w:val="24"/>
                <w:szCs w:val="24"/>
              </w:rPr>
              <w:t>单位</w:t>
            </w:r>
          </w:p>
        </w:tc>
        <w:tc>
          <w:tcPr>
            <w:tcW w:w="1505" w:type="dxa"/>
            <w:tcBorders>
              <w:top w:val="single" w:color="000000" w:sz="8" w:space="0"/>
              <w:left w:val="nil"/>
              <w:bottom w:val="single" w:color="000000" w:sz="8" w:space="0"/>
              <w:right w:val="single" w:color="000000" w:sz="8" w:space="0"/>
            </w:tcBorders>
            <w:tcMar>
              <w:top w:w="0" w:type="dxa"/>
              <w:left w:w="108" w:type="dxa"/>
              <w:bottom w:w="0" w:type="dxa"/>
              <w:right w:w="108" w:type="dxa"/>
            </w:tcMar>
            <w:vAlign w:val="center"/>
          </w:tcPr>
          <w:p w14:paraId="07308BCC">
            <w:pPr>
              <w:jc w:val="center"/>
              <w:rPr>
                <w:rFonts w:cs="宋体" w:asciiTheme="minorEastAsia" w:hAnsiTheme="minorEastAsia"/>
                <w:b/>
                <w:bCs/>
                <w:kern w:val="0"/>
                <w:sz w:val="24"/>
                <w:szCs w:val="24"/>
              </w:rPr>
            </w:pPr>
            <w:r>
              <w:rPr>
                <w:rFonts w:cs="宋体" w:asciiTheme="minorEastAsia" w:hAnsiTheme="minorEastAsia"/>
                <w:b/>
                <w:bCs/>
                <w:kern w:val="0"/>
                <w:sz w:val="24"/>
                <w:szCs w:val="24"/>
              </w:rPr>
              <w:t>内部机构</w:t>
            </w:r>
          </w:p>
        </w:tc>
        <w:tc>
          <w:tcPr>
            <w:tcW w:w="1744" w:type="dxa"/>
            <w:tcBorders>
              <w:top w:val="single" w:color="000000" w:sz="8" w:space="0"/>
              <w:left w:val="nil"/>
              <w:bottom w:val="single" w:color="000000" w:sz="8" w:space="0"/>
              <w:right w:val="single" w:color="000000" w:sz="8" w:space="0"/>
            </w:tcBorders>
            <w:tcMar>
              <w:top w:w="0" w:type="dxa"/>
              <w:left w:w="108" w:type="dxa"/>
              <w:bottom w:w="0" w:type="dxa"/>
              <w:right w:w="108" w:type="dxa"/>
            </w:tcMar>
            <w:vAlign w:val="center"/>
          </w:tcPr>
          <w:p w14:paraId="4068DFC1">
            <w:pPr>
              <w:jc w:val="center"/>
              <w:rPr>
                <w:rFonts w:cs="宋体" w:asciiTheme="minorEastAsia" w:hAnsiTheme="minorEastAsia"/>
                <w:b/>
                <w:bCs/>
                <w:kern w:val="0"/>
                <w:sz w:val="24"/>
                <w:szCs w:val="24"/>
              </w:rPr>
            </w:pPr>
            <w:r>
              <w:rPr>
                <w:rFonts w:cs="宋体" w:asciiTheme="minorEastAsia" w:hAnsiTheme="minorEastAsia"/>
                <w:b/>
                <w:bCs/>
                <w:kern w:val="0"/>
                <w:sz w:val="24"/>
                <w:szCs w:val="24"/>
              </w:rPr>
              <w:t>职务/职称</w:t>
            </w:r>
          </w:p>
        </w:tc>
        <w:tc>
          <w:tcPr>
            <w:tcW w:w="1799" w:type="dxa"/>
            <w:tcBorders>
              <w:top w:val="single" w:color="000000" w:sz="8" w:space="0"/>
              <w:left w:val="nil"/>
              <w:bottom w:val="single" w:color="000000" w:sz="8" w:space="0"/>
              <w:right w:val="single" w:color="000000" w:sz="8" w:space="0"/>
            </w:tcBorders>
            <w:tcMar>
              <w:top w:w="0" w:type="dxa"/>
              <w:left w:w="108" w:type="dxa"/>
              <w:bottom w:w="0" w:type="dxa"/>
              <w:right w:w="108" w:type="dxa"/>
            </w:tcMar>
            <w:vAlign w:val="center"/>
          </w:tcPr>
          <w:p w14:paraId="59764DB1">
            <w:pPr>
              <w:jc w:val="center"/>
              <w:rPr>
                <w:rFonts w:cs="宋体" w:asciiTheme="minorEastAsia" w:hAnsiTheme="minorEastAsia"/>
                <w:b/>
                <w:bCs/>
                <w:kern w:val="0"/>
                <w:sz w:val="24"/>
                <w:szCs w:val="24"/>
              </w:rPr>
            </w:pPr>
            <w:r>
              <w:rPr>
                <w:rFonts w:cs="宋体" w:asciiTheme="minorEastAsia" w:hAnsiTheme="minorEastAsia"/>
                <w:b/>
                <w:bCs/>
                <w:kern w:val="0"/>
                <w:sz w:val="24"/>
                <w:szCs w:val="24"/>
              </w:rPr>
              <w:t>联系方式</w:t>
            </w:r>
          </w:p>
        </w:tc>
        <w:tc>
          <w:tcPr>
            <w:tcW w:w="1043" w:type="dxa"/>
            <w:tcBorders>
              <w:top w:val="single" w:color="000000" w:sz="8" w:space="0"/>
              <w:left w:val="nil"/>
              <w:bottom w:val="single" w:color="000000" w:sz="8" w:space="0"/>
              <w:right w:val="single" w:color="000000" w:sz="8" w:space="0"/>
            </w:tcBorders>
            <w:tcMar>
              <w:top w:w="0" w:type="dxa"/>
              <w:left w:w="108" w:type="dxa"/>
              <w:bottom w:w="0" w:type="dxa"/>
              <w:right w:w="108" w:type="dxa"/>
            </w:tcMar>
            <w:vAlign w:val="center"/>
          </w:tcPr>
          <w:p w14:paraId="04C7F3CB">
            <w:pPr>
              <w:jc w:val="center"/>
              <w:rPr>
                <w:rFonts w:cs="宋体" w:asciiTheme="minorEastAsia" w:hAnsiTheme="minorEastAsia"/>
                <w:b/>
                <w:bCs/>
                <w:kern w:val="0"/>
                <w:sz w:val="24"/>
                <w:szCs w:val="24"/>
              </w:rPr>
            </w:pPr>
            <w:r>
              <w:rPr>
                <w:rFonts w:cs="宋体" w:asciiTheme="minorEastAsia" w:hAnsiTheme="minorEastAsia"/>
                <w:b/>
                <w:bCs/>
                <w:kern w:val="0"/>
                <w:sz w:val="24"/>
                <w:szCs w:val="24"/>
              </w:rPr>
              <w:t>备注</w:t>
            </w:r>
          </w:p>
        </w:tc>
      </w:tr>
      <w:tr w14:paraId="218056EA">
        <w:tblPrEx>
          <w:tblCellMar>
            <w:top w:w="0" w:type="dxa"/>
            <w:left w:w="0" w:type="dxa"/>
            <w:bottom w:w="0" w:type="dxa"/>
            <w:right w:w="0" w:type="dxa"/>
          </w:tblCellMar>
        </w:tblPrEx>
        <w:trPr>
          <w:jc w:val="center"/>
        </w:trPr>
        <w:tc>
          <w:tcPr>
            <w:tcW w:w="905" w:type="dxa"/>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14:paraId="65CB9037">
            <w:pPr>
              <w:jc w:val="center"/>
              <w:rPr>
                <w:rFonts w:cs="宋体" w:asciiTheme="minorEastAsia" w:hAnsiTheme="minorEastAsia"/>
                <w:kern w:val="0"/>
                <w:sz w:val="24"/>
                <w:szCs w:val="24"/>
              </w:rPr>
            </w:pPr>
          </w:p>
        </w:tc>
        <w:tc>
          <w:tcPr>
            <w:tcW w:w="992" w:type="dxa"/>
            <w:tcBorders>
              <w:top w:val="nil"/>
              <w:left w:val="nil"/>
              <w:bottom w:val="single" w:color="000000" w:sz="8" w:space="0"/>
              <w:right w:val="single" w:color="auto" w:sz="8" w:space="0"/>
            </w:tcBorders>
            <w:tcMar>
              <w:top w:w="0" w:type="dxa"/>
              <w:left w:w="108" w:type="dxa"/>
              <w:bottom w:w="0" w:type="dxa"/>
              <w:right w:w="108" w:type="dxa"/>
            </w:tcMar>
            <w:vAlign w:val="center"/>
          </w:tcPr>
          <w:p w14:paraId="0399A940">
            <w:pPr>
              <w:jc w:val="center"/>
              <w:rPr>
                <w:rFonts w:cs="宋体" w:asciiTheme="minorEastAsia" w:hAnsiTheme="minorEastAsia"/>
                <w:kern w:val="0"/>
                <w:sz w:val="24"/>
                <w:szCs w:val="24"/>
              </w:rPr>
            </w:pPr>
          </w:p>
        </w:tc>
        <w:tc>
          <w:tcPr>
            <w:tcW w:w="993"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25C6AB70">
            <w:pPr>
              <w:jc w:val="center"/>
              <w:rPr>
                <w:rFonts w:cs="宋体" w:asciiTheme="minorEastAsia" w:hAnsiTheme="minorEastAsia"/>
                <w:kern w:val="0"/>
                <w:sz w:val="24"/>
                <w:szCs w:val="24"/>
              </w:rPr>
            </w:pPr>
          </w:p>
        </w:tc>
        <w:tc>
          <w:tcPr>
            <w:tcW w:w="1505"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443FC7AE">
            <w:pPr>
              <w:jc w:val="center"/>
              <w:rPr>
                <w:rFonts w:cs="宋体" w:asciiTheme="minorEastAsia" w:hAnsiTheme="minorEastAsia"/>
                <w:kern w:val="0"/>
                <w:sz w:val="24"/>
                <w:szCs w:val="24"/>
              </w:rPr>
            </w:pPr>
          </w:p>
        </w:tc>
        <w:tc>
          <w:tcPr>
            <w:tcW w:w="1744"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0AEC8D36">
            <w:pPr>
              <w:jc w:val="center"/>
              <w:rPr>
                <w:rFonts w:cs="宋体" w:asciiTheme="minorEastAsia" w:hAnsiTheme="minorEastAsia"/>
                <w:kern w:val="0"/>
                <w:sz w:val="24"/>
                <w:szCs w:val="24"/>
              </w:rPr>
            </w:pPr>
          </w:p>
        </w:tc>
        <w:tc>
          <w:tcPr>
            <w:tcW w:w="1799"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071A22D5">
            <w:pPr>
              <w:jc w:val="center"/>
              <w:rPr>
                <w:rFonts w:cs="宋体" w:asciiTheme="minorEastAsia" w:hAnsiTheme="minorEastAsia"/>
                <w:kern w:val="0"/>
                <w:sz w:val="24"/>
                <w:szCs w:val="24"/>
              </w:rPr>
            </w:pPr>
          </w:p>
        </w:tc>
        <w:tc>
          <w:tcPr>
            <w:tcW w:w="1043"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47C20291">
            <w:pPr>
              <w:jc w:val="center"/>
              <w:rPr>
                <w:rFonts w:cs="宋体" w:asciiTheme="minorEastAsia" w:hAnsiTheme="minorEastAsia"/>
                <w:kern w:val="0"/>
                <w:sz w:val="24"/>
                <w:szCs w:val="24"/>
              </w:rPr>
            </w:pPr>
          </w:p>
        </w:tc>
      </w:tr>
      <w:tr w14:paraId="41C77948">
        <w:tblPrEx>
          <w:tblCellMar>
            <w:top w:w="0" w:type="dxa"/>
            <w:left w:w="0" w:type="dxa"/>
            <w:bottom w:w="0" w:type="dxa"/>
            <w:right w:w="0" w:type="dxa"/>
          </w:tblCellMar>
        </w:tblPrEx>
        <w:trPr>
          <w:jc w:val="center"/>
        </w:trPr>
        <w:tc>
          <w:tcPr>
            <w:tcW w:w="905" w:type="dxa"/>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14:paraId="4AB90BD9">
            <w:pPr>
              <w:jc w:val="center"/>
              <w:rPr>
                <w:rFonts w:cs="宋体" w:asciiTheme="minorEastAsia" w:hAnsiTheme="minorEastAsia"/>
                <w:kern w:val="0"/>
                <w:sz w:val="24"/>
                <w:szCs w:val="24"/>
              </w:rPr>
            </w:pPr>
          </w:p>
        </w:tc>
        <w:tc>
          <w:tcPr>
            <w:tcW w:w="992" w:type="dxa"/>
            <w:tcBorders>
              <w:top w:val="nil"/>
              <w:left w:val="nil"/>
              <w:bottom w:val="single" w:color="000000" w:sz="8" w:space="0"/>
              <w:right w:val="single" w:color="auto" w:sz="8" w:space="0"/>
            </w:tcBorders>
            <w:tcMar>
              <w:top w:w="0" w:type="dxa"/>
              <w:left w:w="108" w:type="dxa"/>
              <w:bottom w:w="0" w:type="dxa"/>
              <w:right w:w="108" w:type="dxa"/>
            </w:tcMar>
            <w:vAlign w:val="center"/>
          </w:tcPr>
          <w:p w14:paraId="5087958B">
            <w:pPr>
              <w:jc w:val="center"/>
              <w:rPr>
                <w:rFonts w:cs="宋体" w:asciiTheme="minorEastAsia" w:hAnsiTheme="minorEastAsia"/>
                <w:kern w:val="0"/>
                <w:sz w:val="24"/>
                <w:szCs w:val="24"/>
              </w:rPr>
            </w:pPr>
          </w:p>
        </w:tc>
        <w:tc>
          <w:tcPr>
            <w:tcW w:w="993"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4033BE88">
            <w:pPr>
              <w:jc w:val="center"/>
              <w:rPr>
                <w:rFonts w:cs="宋体" w:asciiTheme="minorEastAsia" w:hAnsiTheme="minorEastAsia"/>
                <w:kern w:val="0"/>
                <w:sz w:val="24"/>
                <w:szCs w:val="24"/>
              </w:rPr>
            </w:pPr>
          </w:p>
        </w:tc>
        <w:tc>
          <w:tcPr>
            <w:tcW w:w="1505"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1D3E3B25">
            <w:pPr>
              <w:jc w:val="center"/>
              <w:rPr>
                <w:rFonts w:cs="宋体" w:asciiTheme="minorEastAsia" w:hAnsiTheme="minorEastAsia"/>
                <w:kern w:val="0"/>
                <w:sz w:val="24"/>
                <w:szCs w:val="24"/>
              </w:rPr>
            </w:pPr>
          </w:p>
        </w:tc>
        <w:tc>
          <w:tcPr>
            <w:tcW w:w="1744"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76A049A7">
            <w:pPr>
              <w:jc w:val="center"/>
              <w:rPr>
                <w:rFonts w:cs="宋体" w:asciiTheme="minorEastAsia" w:hAnsiTheme="minorEastAsia"/>
                <w:kern w:val="0"/>
                <w:sz w:val="24"/>
                <w:szCs w:val="24"/>
              </w:rPr>
            </w:pPr>
          </w:p>
        </w:tc>
        <w:tc>
          <w:tcPr>
            <w:tcW w:w="1799"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088249FF">
            <w:pPr>
              <w:jc w:val="center"/>
              <w:rPr>
                <w:rFonts w:cs="宋体" w:asciiTheme="minorEastAsia" w:hAnsiTheme="minorEastAsia"/>
                <w:kern w:val="0"/>
                <w:sz w:val="24"/>
                <w:szCs w:val="24"/>
              </w:rPr>
            </w:pPr>
          </w:p>
        </w:tc>
        <w:tc>
          <w:tcPr>
            <w:tcW w:w="1043"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66D5EB87">
            <w:pPr>
              <w:jc w:val="center"/>
              <w:rPr>
                <w:rFonts w:cs="宋体" w:asciiTheme="minorEastAsia" w:hAnsiTheme="minorEastAsia"/>
                <w:kern w:val="0"/>
                <w:sz w:val="24"/>
                <w:szCs w:val="24"/>
              </w:rPr>
            </w:pPr>
          </w:p>
        </w:tc>
      </w:tr>
      <w:tr w14:paraId="2026A17E">
        <w:tblPrEx>
          <w:tblCellMar>
            <w:top w:w="0" w:type="dxa"/>
            <w:left w:w="0" w:type="dxa"/>
            <w:bottom w:w="0" w:type="dxa"/>
            <w:right w:w="0" w:type="dxa"/>
          </w:tblCellMar>
        </w:tblPrEx>
        <w:trPr>
          <w:jc w:val="center"/>
        </w:trPr>
        <w:tc>
          <w:tcPr>
            <w:tcW w:w="905" w:type="dxa"/>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14:paraId="440342EB">
            <w:pPr>
              <w:jc w:val="center"/>
              <w:rPr>
                <w:rFonts w:cs="宋体" w:asciiTheme="minorEastAsia" w:hAnsiTheme="minorEastAsia"/>
                <w:kern w:val="0"/>
                <w:sz w:val="24"/>
                <w:szCs w:val="24"/>
              </w:rPr>
            </w:pPr>
          </w:p>
        </w:tc>
        <w:tc>
          <w:tcPr>
            <w:tcW w:w="992" w:type="dxa"/>
            <w:tcBorders>
              <w:top w:val="nil"/>
              <w:left w:val="nil"/>
              <w:bottom w:val="single" w:color="000000" w:sz="8" w:space="0"/>
              <w:right w:val="single" w:color="auto" w:sz="8" w:space="0"/>
            </w:tcBorders>
            <w:tcMar>
              <w:top w:w="0" w:type="dxa"/>
              <w:left w:w="108" w:type="dxa"/>
              <w:bottom w:w="0" w:type="dxa"/>
              <w:right w:w="108" w:type="dxa"/>
            </w:tcMar>
            <w:vAlign w:val="center"/>
          </w:tcPr>
          <w:p w14:paraId="3D19063A">
            <w:pPr>
              <w:jc w:val="center"/>
              <w:rPr>
                <w:rFonts w:cs="宋体" w:asciiTheme="minorEastAsia" w:hAnsiTheme="minorEastAsia"/>
                <w:kern w:val="0"/>
                <w:sz w:val="24"/>
                <w:szCs w:val="24"/>
              </w:rPr>
            </w:pPr>
          </w:p>
        </w:tc>
        <w:tc>
          <w:tcPr>
            <w:tcW w:w="993"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51EA1B05">
            <w:pPr>
              <w:jc w:val="center"/>
              <w:rPr>
                <w:rFonts w:cs="宋体" w:asciiTheme="minorEastAsia" w:hAnsiTheme="minorEastAsia"/>
                <w:kern w:val="0"/>
                <w:sz w:val="24"/>
                <w:szCs w:val="24"/>
              </w:rPr>
            </w:pPr>
          </w:p>
        </w:tc>
        <w:tc>
          <w:tcPr>
            <w:tcW w:w="1505"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584B000D">
            <w:pPr>
              <w:jc w:val="center"/>
              <w:rPr>
                <w:rFonts w:cs="宋体" w:asciiTheme="minorEastAsia" w:hAnsiTheme="minorEastAsia"/>
                <w:kern w:val="0"/>
                <w:sz w:val="24"/>
                <w:szCs w:val="24"/>
              </w:rPr>
            </w:pPr>
          </w:p>
        </w:tc>
        <w:tc>
          <w:tcPr>
            <w:tcW w:w="1744"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1329189D">
            <w:pPr>
              <w:jc w:val="center"/>
              <w:rPr>
                <w:rFonts w:cs="宋体" w:asciiTheme="minorEastAsia" w:hAnsiTheme="minorEastAsia"/>
                <w:kern w:val="0"/>
                <w:sz w:val="24"/>
                <w:szCs w:val="24"/>
              </w:rPr>
            </w:pPr>
          </w:p>
        </w:tc>
        <w:tc>
          <w:tcPr>
            <w:tcW w:w="1799"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505822E0">
            <w:pPr>
              <w:jc w:val="center"/>
              <w:rPr>
                <w:rFonts w:cs="宋体" w:asciiTheme="minorEastAsia" w:hAnsiTheme="minorEastAsia"/>
                <w:kern w:val="0"/>
                <w:sz w:val="24"/>
                <w:szCs w:val="24"/>
              </w:rPr>
            </w:pPr>
          </w:p>
        </w:tc>
        <w:tc>
          <w:tcPr>
            <w:tcW w:w="1043"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21F10238">
            <w:pPr>
              <w:jc w:val="center"/>
              <w:rPr>
                <w:rFonts w:cs="宋体" w:asciiTheme="minorEastAsia" w:hAnsiTheme="minorEastAsia"/>
                <w:kern w:val="0"/>
                <w:sz w:val="24"/>
                <w:szCs w:val="24"/>
              </w:rPr>
            </w:pPr>
          </w:p>
        </w:tc>
      </w:tr>
      <w:tr w14:paraId="6419C57C">
        <w:tblPrEx>
          <w:tblCellMar>
            <w:top w:w="0" w:type="dxa"/>
            <w:left w:w="0" w:type="dxa"/>
            <w:bottom w:w="0" w:type="dxa"/>
            <w:right w:w="0" w:type="dxa"/>
          </w:tblCellMar>
        </w:tblPrEx>
        <w:trPr>
          <w:jc w:val="center"/>
        </w:trPr>
        <w:tc>
          <w:tcPr>
            <w:tcW w:w="905" w:type="dxa"/>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14:paraId="553E20FE">
            <w:pPr>
              <w:jc w:val="center"/>
              <w:rPr>
                <w:rFonts w:cs="宋体" w:asciiTheme="minorEastAsia" w:hAnsiTheme="minorEastAsia"/>
                <w:kern w:val="0"/>
                <w:sz w:val="24"/>
                <w:szCs w:val="24"/>
              </w:rPr>
            </w:pPr>
          </w:p>
        </w:tc>
        <w:tc>
          <w:tcPr>
            <w:tcW w:w="992" w:type="dxa"/>
            <w:tcBorders>
              <w:top w:val="nil"/>
              <w:left w:val="nil"/>
              <w:bottom w:val="single" w:color="000000" w:sz="8" w:space="0"/>
              <w:right w:val="single" w:color="auto" w:sz="8" w:space="0"/>
            </w:tcBorders>
            <w:tcMar>
              <w:top w:w="0" w:type="dxa"/>
              <w:left w:w="108" w:type="dxa"/>
              <w:bottom w:w="0" w:type="dxa"/>
              <w:right w:w="108" w:type="dxa"/>
            </w:tcMar>
            <w:vAlign w:val="center"/>
          </w:tcPr>
          <w:p w14:paraId="1FF0DB0B">
            <w:pPr>
              <w:jc w:val="center"/>
              <w:rPr>
                <w:rFonts w:cs="宋体" w:asciiTheme="minorEastAsia" w:hAnsiTheme="minorEastAsia"/>
                <w:kern w:val="0"/>
                <w:sz w:val="24"/>
                <w:szCs w:val="24"/>
              </w:rPr>
            </w:pPr>
          </w:p>
        </w:tc>
        <w:tc>
          <w:tcPr>
            <w:tcW w:w="993"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1D35FB81">
            <w:pPr>
              <w:jc w:val="center"/>
              <w:rPr>
                <w:rFonts w:cs="宋体" w:asciiTheme="minorEastAsia" w:hAnsiTheme="minorEastAsia"/>
                <w:kern w:val="0"/>
                <w:sz w:val="24"/>
                <w:szCs w:val="24"/>
              </w:rPr>
            </w:pPr>
          </w:p>
        </w:tc>
        <w:tc>
          <w:tcPr>
            <w:tcW w:w="1505"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2C22BD9A">
            <w:pPr>
              <w:jc w:val="center"/>
              <w:rPr>
                <w:rFonts w:cs="宋体" w:asciiTheme="minorEastAsia" w:hAnsiTheme="minorEastAsia"/>
                <w:kern w:val="0"/>
                <w:sz w:val="24"/>
                <w:szCs w:val="24"/>
              </w:rPr>
            </w:pPr>
          </w:p>
        </w:tc>
        <w:tc>
          <w:tcPr>
            <w:tcW w:w="1744"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476E125A">
            <w:pPr>
              <w:jc w:val="center"/>
              <w:rPr>
                <w:rFonts w:cs="宋体" w:asciiTheme="minorEastAsia" w:hAnsiTheme="minorEastAsia"/>
                <w:kern w:val="0"/>
                <w:sz w:val="24"/>
                <w:szCs w:val="24"/>
              </w:rPr>
            </w:pPr>
          </w:p>
        </w:tc>
        <w:tc>
          <w:tcPr>
            <w:tcW w:w="1799"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31FAD9E4">
            <w:pPr>
              <w:jc w:val="center"/>
              <w:rPr>
                <w:rFonts w:cs="宋体" w:asciiTheme="minorEastAsia" w:hAnsiTheme="minorEastAsia"/>
                <w:kern w:val="0"/>
                <w:sz w:val="24"/>
                <w:szCs w:val="24"/>
              </w:rPr>
            </w:pPr>
          </w:p>
        </w:tc>
        <w:tc>
          <w:tcPr>
            <w:tcW w:w="1043"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32FFFA72">
            <w:pPr>
              <w:jc w:val="center"/>
              <w:rPr>
                <w:rFonts w:cs="宋体" w:asciiTheme="minorEastAsia" w:hAnsiTheme="minorEastAsia"/>
                <w:kern w:val="0"/>
                <w:sz w:val="24"/>
                <w:szCs w:val="24"/>
              </w:rPr>
            </w:pPr>
          </w:p>
        </w:tc>
      </w:tr>
      <w:tr w14:paraId="27EC187F">
        <w:tblPrEx>
          <w:tblCellMar>
            <w:top w:w="0" w:type="dxa"/>
            <w:left w:w="0" w:type="dxa"/>
            <w:bottom w:w="0" w:type="dxa"/>
            <w:right w:w="0" w:type="dxa"/>
          </w:tblCellMar>
        </w:tblPrEx>
        <w:trPr>
          <w:jc w:val="center"/>
        </w:trPr>
        <w:tc>
          <w:tcPr>
            <w:tcW w:w="905" w:type="dxa"/>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14:paraId="6770B3A6">
            <w:pPr>
              <w:jc w:val="center"/>
              <w:rPr>
                <w:rFonts w:cs="宋体" w:asciiTheme="minorEastAsia" w:hAnsiTheme="minorEastAsia"/>
                <w:kern w:val="0"/>
                <w:sz w:val="24"/>
                <w:szCs w:val="24"/>
              </w:rPr>
            </w:pPr>
          </w:p>
        </w:tc>
        <w:tc>
          <w:tcPr>
            <w:tcW w:w="992" w:type="dxa"/>
            <w:tcBorders>
              <w:top w:val="nil"/>
              <w:left w:val="nil"/>
              <w:bottom w:val="single" w:color="000000" w:sz="8" w:space="0"/>
              <w:right w:val="single" w:color="auto" w:sz="8" w:space="0"/>
            </w:tcBorders>
            <w:tcMar>
              <w:top w:w="0" w:type="dxa"/>
              <w:left w:w="108" w:type="dxa"/>
              <w:bottom w:w="0" w:type="dxa"/>
              <w:right w:w="108" w:type="dxa"/>
            </w:tcMar>
            <w:vAlign w:val="center"/>
          </w:tcPr>
          <w:p w14:paraId="4B5047E1">
            <w:pPr>
              <w:jc w:val="center"/>
              <w:rPr>
                <w:rFonts w:cs="宋体" w:asciiTheme="minorEastAsia" w:hAnsiTheme="minorEastAsia"/>
                <w:kern w:val="0"/>
                <w:sz w:val="24"/>
                <w:szCs w:val="24"/>
              </w:rPr>
            </w:pPr>
          </w:p>
        </w:tc>
        <w:tc>
          <w:tcPr>
            <w:tcW w:w="993"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20ABBB5A">
            <w:pPr>
              <w:jc w:val="center"/>
              <w:rPr>
                <w:rFonts w:cs="宋体" w:asciiTheme="minorEastAsia" w:hAnsiTheme="minorEastAsia"/>
                <w:kern w:val="0"/>
                <w:sz w:val="24"/>
                <w:szCs w:val="24"/>
              </w:rPr>
            </w:pPr>
          </w:p>
        </w:tc>
        <w:tc>
          <w:tcPr>
            <w:tcW w:w="1505"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292167CF">
            <w:pPr>
              <w:jc w:val="center"/>
              <w:rPr>
                <w:rFonts w:cs="宋体" w:asciiTheme="minorEastAsia" w:hAnsiTheme="minorEastAsia"/>
                <w:kern w:val="0"/>
                <w:sz w:val="24"/>
                <w:szCs w:val="24"/>
              </w:rPr>
            </w:pPr>
          </w:p>
        </w:tc>
        <w:tc>
          <w:tcPr>
            <w:tcW w:w="1744"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248FE98F">
            <w:pPr>
              <w:jc w:val="center"/>
              <w:rPr>
                <w:rFonts w:cs="宋体" w:asciiTheme="minorEastAsia" w:hAnsiTheme="minorEastAsia"/>
                <w:kern w:val="0"/>
                <w:sz w:val="24"/>
                <w:szCs w:val="24"/>
              </w:rPr>
            </w:pPr>
          </w:p>
        </w:tc>
        <w:tc>
          <w:tcPr>
            <w:tcW w:w="1799"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3DDA32D8">
            <w:pPr>
              <w:jc w:val="center"/>
              <w:rPr>
                <w:rFonts w:cs="宋体" w:asciiTheme="minorEastAsia" w:hAnsiTheme="minorEastAsia"/>
                <w:kern w:val="0"/>
                <w:sz w:val="24"/>
                <w:szCs w:val="24"/>
              </w:rPr>
            </w:pPr>
          </w:p>
        </w:tc>
        <w:tc>
          <w:tcPr>
            <w:tcW w:w="1043"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438A6194">
            <w:pPr>
              <w:jc w:val="center"/>
              <w:rPr>
                <w:rFonts w:cs="宋体" w:asciiTheme="minorEastAsia" w:hAnsiTheme="minorEastAsia"/>
                <w:kern w:val="0"/>
                <w:sz w:val="24"/>
                <w:szCs w:val="24"/>
              </w:rPr>
            </w:pPr>
          </w:p>
        </w:tc>
      </w:tr>
    </w:tbl>
    <w:p w14:paraId="1642FD05">
      <w:pPr>
        <w:widowControl/>
        <w:ind w:firstLine="480" w:firstLineChars="200"/>
        <w:jc w:val="left"/>
        <w:rPr>
          <w:rFonts w:cs="宋体" w:asciiTheme="minorEastAsia" w:hAnsiTheme="minorEastAsia"/>
          <w:color w:val="000000"/>
          <w:kern w:val="0"/>
          <w:sz w:val="24"/>
          <w:szCs w:val="24"/>
        </w:rPr>
      </w:pPr>
      <w:r>
        <w:rPr>
          <w:rFonts w:hint="eastAsia" w:cs="宋体" w:asciiTheme="minorEastAsia" w:hAnsiTheme="minorEastAsia"/>
          <w:i/>
          <w:iCs/>
          <w:color w:val="000000"/>
          <w:kern w:val="0"/>
          <w:sz w:val="24"/>
          <w:szCs w:val="24"/>
          <w:u w:val="single"/>
        </w:rPr>
        <w:t>审查工作机制成员应当包括本部门、本单位的采购、财务、业务、监督等内部机构。采购人可以根据本单位实际情况，建立相关专家和第三方机构参与审查的工作机制。</w:t>
      </w:r>
    </w:p>
    <w:p w14:paraId="304C6F0B">
      <w:pPr>
        <w:widowControl/>
        <w:ind w:firstLine="480" w:firstLineChars="200"/>
        <w:jc w:val="left"/>
        <w:rPr>
          <w:rFonts w:cs="宋体" w:asciiTheme="minorEastAsia" w:hAnsiTheme="minorEastAsia"/>
          <w:color w:val="000000"/>
          <w:kern w:val="0"/>
          <w:sz w:val="24"/>
          <w:szCs w:val="24"/>
        </w:rPr>
      </w:pPr>
      <w:r>
        <w:rPr>
          <w:rFonts w:hint="eastAsia" w:cs="宋体" w:asciiTheme="minorEastAsia" w:hAnsiTheme="minorEastAsia"/>
          <w:i/>
          <w:iCs/>
          <w:color w:val="000000"/>
          <w:kern w:val="0"/>
          <w:sz w:val="24"/>
          <w:szCs w:val="24"/>
          <w:u w:val="single"/>
        </w:rPr>
        <w:t>参与确定采购需求和编制采购实施计划的专家和第三方机构不得参与审查。</w:t>
      </w:r>
    </w:p>
    <w:p w14:paraId="024F2075">
      <w:pPr>
        <w:widowControl/>
        <w:ind w:firstLine="482" w:firstLineChars="200"/>
        <w:jc w:val="left"/>
        <w:rPr>
          <w:rFonts w:cs="宋体" w:asciiTheme="minorEastAsia" w:hAnsiTheme="minorEastAsia"/>
          <w:b/>
          <w:color w:val="000000"/>
          <w:kern w:val="0"/>
          <w:sz w:val="24"/>
          <w:szCs w:val="24"/>
        </w:rPr>
      </w:pPr>
      <w:r>
        <w:rPr>
          <w:rFonts w:hint="eastAsia" w:cs="宋体" w:asciiTheme="minorEastAsia" w:hAnsiTheme="minorEastAsia"/>
          <w:b/>
          <w:color w:val="000000"/>
          <w:kern w:val="0"/>
          <w:sz w:val="24"/>
          <w:szCs w:val="24"/>
        </w:rPr>
        <w:t>三、审查会议</w:t>
      </w:r>
    </w:p>
    <w:p w14:paraId="320E4E52">
      <w:pPr>
        <w:widowControl/>
        <w:ind w:firstLine="480" w:firstLineChars="20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1.审查时间：</w:t>
      </w:r>
      <w:r>
        <w:rPr>
          <w:rFonts w:hint="eastAsia" w:cs="宋体" w:asciiTheme="minorEastAsia" w:hAnsiTheme="minorEastAsia"/>
          <w:color w:val="000000"/>
          <w:kern w:val="0"/>
          <w:sz w:val="24"/>
          <w:szCs w:val="24"/>
          <w:u w:val="single"/>
        </w:rPr>
        <w:t xml:space="preserve"> 20</w:t>
      </w:r>
      <w:r>
        <w:rPr>
          <w:rFonts w:hint="eastAsia" w:cs="宋体" w:asciiTheme="minorEastAsia" w:hAnsiTheme="minorEastAsia"/>
          <w:color w:val="000000"/>
          <w:kern w:val="0"/>
          <w:sz w:val="24"/>
          <w:szCs w:val="24"/>
          <w:u w:val="single"/>
          <w:lang w:val="en-US" w:eastAsia="zh-CN"/>
        </w:rPr>
        <w:t>26</w:t>
      </w:r>
      <w:r>
        <w:rPr>
          <w:rFonts w:hint="eastAsia" w:cs="宋体" w:asciiTheme="minorEastAsia" w:hAnsiTheme="minorEastAsia"/>
          <w:color w:val="000000"/>
          <w:kern w:val="0"/>
          <w:sz w:val="24"/>
          <w:szCs w:val="24"/>
          <w:u w:val="single"/>
        </w:rPr>
        <w:t>年</w:t>
      </w:r>
      <w:r>
        <w:rPr>
          <w:rFonts w:hint="eastAsia" w:cs="宋体" w:asciiTheme="minorEastAsia" w:hAnsiTheme="minorEastAsia"/>
          <w:color w:val="000000"/>
          <w:kern w:val="0"/>
          <w:sz w:val="24"/>
          <w:szCs w:val="24"/>
          <w:u w:val="single"/>
          <w:lang w:val="en-US" w:eastAsia="zh-CN"/>
        </w:rPr>
        <w:t>1</w:t>
      </w:r>
      <w:r>
        <w:rPr>
          <w:rFonts w:hint="eastAsia" w:cs="宋体" w:asciiTheme="minorEastAsia" w:hAnsiTheme="minorEastAsia"/>
          <w:color w:val="000000"/>
          <w:kern w:val="0"/>
          <w:sz w:val="24"/>
          <w:szCs w:val="24"/>
          <w:u w:val="single"/>
        </w:rPr>
        <w:t xml:space="preserve">月  </w:t>
      </w:r>
    </w:p>
    <w:p w14:paraId="7E296ABC">
      <w:pPr>
        <w:widowControl/>
        <w:ind w:firstLine="480" w:firstLineChars="20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2.审查地点：</w:t>
      </w:r>
      <w:r>
        <w:rPr>
          <w:rFonts w:hint="eastAsia" w:cs="宋体" w:asciiTheme="minorEastAsia" w:hAnsiTheme="minorEastAsia"/>
          <w:color w:val="000000"/>
          <w:kern w:val="0"/>
          <w:sz w:val="24"/>
          <w:szCs w:val="24"/>
          <w:u w:val="single"/>
        </w:rPr>
        <w:t xml:space="preserve"> </w:t>
      </w:r>
      <w:r>
        <w:rPr>
          <w:rFonts w:hint="eastAsia" w:cs="宋体" w:asciiTheme="minorEastAsia" w:hAnsiTheme="minorEastAsia"/>
          <w:color w:val="000000"/>
          <w:kern w:val="0"/>
          <w:sz w:val="24"/>
          <w:szCs w:val="24"/>
          <w:u w:val="single"/>
          <w:lang w:val="en-US" w:eastAsia="zh-CN"/>
        </w:rPr>
        <w:t>东莞市塘厦镇</w:t>
      </w:r>
      <w:r>
        <w:rPr>
          <w:rFonts w:hint="eastAsia" w:cs="宋体" w:asciiTheme="minorEastAsia" w:hAnsiTheme="minorEastAsia"/>
          <w:color w:val="000000"/>
          <w:kern w:val="0"/>
          <w:sz w:val="24"/>
          <w:szCs w:val="24"/>
          <w:u w:val="single"/>
        </w:rPr>
        <w:t xml:space="preserve"> </w:t>
      </w:r>
    </w:p>
    <w:p w14:paraId="093E1768">
      <w:pPr>
        <w:widowControl/>
        <w:ind w:firstLine="480" w:firstLineChars="200"/>
        <w:jc w:val="left"/>
        <w:rPr>
          <w:rFonts w:cs="宋体" w:asciiTheme="minorEastAsia" w:hAnsiTheme="minorEastAsia"/>
          <w:color w:val="000000"/>
          <w:kern w:val="0"/>
          <w:sz w:val="24"/>
          <w:szCs w:val="24"/>
        </w:rPr>
      </w:pPr>
    </w:p>
    <w:p w14:paraId="06E72C5B">
      <w:pPr>
        <w:widowControl/>
        <w:ind w:firstLine="482" w:firstLineChars="200"/>
        <w:jc w:val="left"/>
        <w:rPr>
          <w:rFonts w:cs="宋体" w:asciiTheme="minorEastAsia" w:hAnsiTheme="minorEastAsia"/>
          <w:b/>
          <w:color w:val="000000"/>
          <w:kern w:val="0"/>
          <w:sz w:val="24"/>
          <w:szCs w:val="24"/>
        </w:rPr>
      </w:pPr>
      <w:r>
        <w:rPr>
          <w:rFonts w:hint="eastAsia" w:cs="宋体" w:asciiTheme="minorEastAsia" w:hAnsiTheme="minorEastAsia"/>
          <w:b/>
          <w:color w:val="000000"/>
          <w:kern w:val="0"/>
          <w:sz w:val="24"/>
          <w:szCs w:val="24"/>
        </w:rPr>
        <w:t>四、审查意见</w:t>
      </w:r>
    </w:p>
    <w:tbl>
      <w:tblPr>
        <w:tblStyle w:val="7"/>
        <w:tblW w:w="9558" w:type="dxa"/>
        <w:jc w:val="center"/>
        <w:tblLayout w:type="autofit"/>
        <w:tblCellMar>
          <w:top w:w="0" w:type="dxa"/>
          <w:left w:w="0" w:type="dxa"/>
          <w:bottom w:w="0" w:type="dxa"/>
          <w:right w:w="0" w:type="dxa"/>
        </w:tblCellMar>
      </w:tblPr>
      <w:tblGrid>
        <w:gridCol w:w="2327"/>
        <w:gridCol w:w="5331"/>
        <w:gridCol w:w="1900"/>
      </w:tblGrid>
      <w:tr w14:paraId="043F97F1">
        <w:tblPrEx>
          <w:tblCellMar>
            <w:top w:w="0" w:type="dxa"/>
            <w:left w:w="0" w:type="dxa"/>
            <w:bottom w:w="0" w:type="dxa"/>
            <w:right w:w="0" w:type="dxa"/>
          </w:tblCellMar>
        </w:tblPrEx>
        <w:trPr>
          <w:jc w:val="center"/>
        </w:trPr>
        <w:tc>
          <w:tcPr>
            <w:tcW w:w="7658" w:type="dxa"/>
            <w:gridSpan w:val="2"/>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2074F258">
            <w:pPr>
              <w:jc w:val="center"/>
              <w:rPr>
                <w:rFonts w:ascii="宋体" w:hAnsi="宋体" w:eastAsia="宋体"/>
                <w:b/>
                <w:sz w:val="24"/>
                <w:szCs w:val="24"/>
              </w:rPr>
            </w:pPr>
            <w:r>
              <w:rPr>
                <w:rFonts w:ascii="宋体" w:hAnsi="宋体" w:eastAsia="宋体"/>
                <w:b/>
                <w:sz w:val="24"/>
                <w:szCs w:val="24"/>
              </w:rPr>
              <w:t>审 查 内 容</w:t>
            </w:r>
          </w:p>
        </w:tc>
        <w:tc>
          <w:tcPr>
            <w:tcW w:w="1900" w:type="dxa"/>
            <w:tcBorders>
              <w:top w:val="single" w:color="000000" w:sz="8" w:space="0"/>
              <w:left w:val="nil"/>
              <w:bottom w:val="single" w:color="000000" w:sz="8" w:space="0"/>
              <w:right w:val="single" w:color="000000" w:sz="8" w:space="0"/>
            </w:tcBorders>
            <w:tcMar>
              <w:top w:w="0" w:type="dxa"/>
              <w:left w:w="108" w:type="dxa"/>
              <w:bottom w:w="0" w:type="dxa"/>
              <w:right w:w="108" w:type="dxa"/>
            </w:tcMar>
            <w:vAlign w:val="center"/>
          </w:tcPr>
          <w:p w14:paraId="6A3B85F3">
            <w:pPr>
              <w:jc w:val="center"/>
              <w:rPr>
                <w:rFonts w:ascii="宋体" w:hAnsi="宋体" w:eastAsia="宋体"/>
                <w:b/>
                <w:sz w:val="24"/>
                <w:szCs w:val="24"/>
              </w:rPr>
            </w:pPr>
            <w:r>
              <w:rPr>
                <w:rFonts w:ascii="宋体" w:hAnsi="宋体" w:eastAsia="宋体"/>
                <w:b/>
                <w:sz w:val="24"/>
                <w:szCs w:val="24"/>
              </w:rPr>
              <w:t>审查结果</w:t>
            </w:r>
          </w:p>
        </w:tc>
      </w:tr>
      <w:tr w14:paraId="4BFAA562">
        <w:tblPrEx>
          <w:tblCellMar>
            <w:top w:w="0" w:type="dxa"/>
            <w:left w:w="0" w:type="dxa"/>
            <w:bottom w:w="0" w:type="dxa"/>
            <w:right w:w="0" w:type="dxa"/>
          </w:tblCellMar>
        </w:tblPrEx>
        <w:trPr>
          <w:jc w:val="center"/>
        </w:trPr>
        <w:tc>
          <w:tcPr>
            <w:tcW w:w="2327" w:type="dxa"/>
            <w:vMerge w:val="restart"/>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14:paraId="61FE42DA">
            <w:pPr>
              <w:jc w:val="left"/>
              <w:rPr>
                <w:rFonts w:cs="宋体" w:asciiTheme="minorEastAsia" w:hAnsiTheme="minorEastAsia"/>
                <w:kern w:val="0"/>
                <w:sz w:val="24"/>
                <w:szCs w:val="24"/>
              </w:rPr>
            </w:pPr>
            <w:r>
              <w:rPr>
                <w:rFonts w:cs="宋体" w:asciiTheme="minorEastAsia" w:hAnsiTheme="minorEastAsia"/>
                <w:kern w:val="0"/>
                <w:sz w:val="24"/>
                <w:szCs w:val="24"/>
              </w:rPr>
              <w:t>（一）非歧视性审查（主要审查是否指向特定供应商或者特定产品）</w:t>
            </w:r>
          </w:p>
        </w:tc>
        <w:tc>
          <w:tcPr>
            <w:tcW w:w="5331" w:type="dxa"/>
            <w:tcBorders>
              <w:top w:val="nil"/>
              <w:left w:val="nil"/>
              <w:bottom w:val="single" w:color="auto" w:sz="8" w:space="0"/>
              <w:right w:val="single" w:color="000000" w:sz="8" w:space="0"/>
            </w:tcBorders>
            <w:tcMar>
              <w:top w:w="0" w:type="dxa"/>
              <w:left w:w="108" w:type="dxa"/>
              <w:bottom w:w="0" w:type="dxa"/>
              <w:right w:w="108" w:type="dxa"/>
            </w:tcMar>
            <w:vAlign w:val="center"/>
          </w:tcPr>
          <w:p w14:paraId="4926C50A">
            <w:pPr>
              <w:jc w:val="left"/>
              <w:rPr>
                <w:rFonts w:cs="宋体" w:asciiTheme="minorEastAsia" w:hAnsiTheme="minorEastAsia"/>
                <w:kern w:val="0"/>
                <w:sz w:val="24"/>
                <w:szCs w:val="24"/>
              </w:rPr>
            </w:pPr>
            <w:r>
              <w:rPr>
                <w:rFonts w:cs="宋体" w:asciiTheme="minorEastAsia" w:hAnsiTheme="minorEastAsia"/>
                <w:kern w:val="0"/>
                <w:sz w:val="24"/>
                <w:szCs w:val="24"/>
              </w:rPr>
              <w:t>资格条件设置是否合理</w:t>
            </w:r>
          </w:p>
        </w:tc>
        <w:tc>
          <w:tcPr>
            <w:tcW w:w="1900" w:type="dxa"/>
            <w:tcBorders>
              <w:top w:val="nil"/>
              <w:left w:val="nil"/>
              <w:bottom w:val="single" w:color="auto" w:sz="8" w:space="0"/>
              <w:right w:val="single" w:color="000000" w:sz="8" w:space="0"/>
            </w:tcBorders>
            <w:tcMar>
              <w:top w:w="0" w:type="dxa"/>
              <w:left w:w="108" w:type="dxa"/>
              <w:bottom w:w="0" w:type="dxa"/>
              <w:right w:w="108" w:type="dxa"/>
            </w:tcMar>
            <w:vAlign w:val="center"/>
          </w:tcPr>
          <w:p w14:paraId="7A48146C">
            <w:pPr>
              <w:widowControl/>
              <w:spacing w:line="560" w:lineRule="atLeast"/>
              <w:jc w:val="center"/>
              <w:rPr>
                <w:rFonts w:cs="宋体" w:asciiTheme="minorEastAsia" w:hAnsiTheme="minorEastAsia"/>
                <w:kern w:val="0"/>
                <w:sz w:val="24"/>
                <w:szCs w:val="24"/>
              </w:rPr>
            </w:pPr>
          </w:p>
        </w:tc>
      </w:tr>
      <w:tr w14:paraId="5265E5BD">
        <w:tblPrEx>
          <w:tblCellMar>
            <w:top w:w="0" w:type="dxa"/>
            <w:left w:w="0" w:type="dxa"/>
            <w:bottom w:w="0" w:type="dxa"/>
            <w:right w:w="0" w:type="dxa"/>
          </w:tblCellMar>
        </w:tblPrEx>
        <w:trPr>
          <w:jc w:val="center"/>
        </w:trPr>
        <w:tc>
          <w:tcPr>
            <w:tcW w:w="0" w:type="auto"/>
            <w:vMerge w:val="continue"/>
            <w:tcBorders>
              <w:top w:val="nil"/>
              <w:left w:val="single" w:color="000000" w:sz="8" w:space="0"/>
              <w:bottom w:val="single" w:color="000000" w:sz="8" w:space="0"/>
              <w:right w:val="single" w:color="000000" w:sz="8" w:space="0"/>
            </w:tcBorders>
            <w:vAlign w:val="center"/>
          </w:tcPr>
          <w:p w14:paraId="521F7361">
            <w:pPr>
              <w:jc w:val="left"/>
              <w:rPr>
                <w:rFonts w:cs="宋体" w:asciiTheme="minorEastAsia" w:hAnsiTheme="minorEastAsia"/>
                <w:kern w:val="0"/>
                <w:sz w:val="24"/>
                <w:szCs w:val="24"/>
              </w:rPr>
            </w:pPr>
          </w:p>
        </w:tc>
        <w:tc>
          <w:tcPr>
            <w:tcW w:w="5331" w:type="dxa"/>
            <w:tcBorders>
              <w:top w:val="nil"/>
              <w:left w:val="nil"/>
              <w:bottom w:val="single" w:color="auto" w:sz="8" w:space="0"/>
              <w:right w:val="single" w:color="000000" w:sz="8" w:space="0"/>
            </w:tcBorders>
            <w:tcMar>
              <w:top w:w="0" w:type="dxa"/>
              <w:left w:w="108" w:type="dxa"/>
              <w:bottom w:w="0" w:type="dxa"/>
              <w:right w:w="108" w:type="dxa"/>
            </w:tcMar>
            <w:vAlign w:val="center"/>
          </w:tcPr>
          <w:p w14:paraId="7358348D">
            <w:pPr>
              <w:jc w:val="left"/>
              <w:rPr>
                <w:rFonts w:cs="宋体" w:asciiTheme="minorEastAsia" w:hAnsiTheme="minorEastAsia"/>
                <w:kern w:val="0"/>
                <w:sz w:val="24"/>
                <w:szCs w:val="24"/>
              </w:rPr>
            </w:pPr>
            <w:r>
              <w:rPr>
                <w:rFonts w:cs="宋体" w:asciiTheme="minorEastAsia" w:hAnsiTheme="minorEastAsia"/>
                <w:kern w:val="0"/>
                <w:sz w:val="24"/>
                <w:szCs w:val="24"/>
              </w:rPr>
              <w:t>要求供应商提供超过2个同类业务合同的，是否具有合理性</w:t>
            </w:r>
          </w:p>
        </w:tc>
        <w:tc>
          <w:tcPr>
            <w:tcW w:w="1900" w:type="dxa"/>
            <w:tcBorders>
              <w:top w:val="nil"/>
              <w:left w:val="nil"/>
              <w:bottom w:val="single" w:color="auto" w:sz="8" w:space="0"/>
              <w:right w:val="single" w:color="000000" w:sz="8" w:space="0"/>
            </w:tcBorders>
            <w:tcMar>
              <w:top w:w="0" w:type="dxa"/>
              <w:left w:w="108" w:type="dxa"/>
              <w:bottom w:w="0" w:type="dxa"/>
              <w:right w:w="108" w:type="dxa"/>
            </w:tcMar>
            <w:vAlign w:val="center"/>
          </w:tcPr>
          <w:p w14:paraId="7FE019F4">
            <w:pPr>
              <w:widowControl/>
              <w:spacing w:line="560" w:lineRule="atLeast"/>
              <w:jc w:val="center"/>
              <w:rPr>
                <w:rFonts w:cs="宋体" w:asciiTheme="minorEastAsia" w:hAnsiTheme="minorEastAsia"/>
                <w:kern w:val="0"/>
                <w:sz w:val="24"/>
                <w:szCs w:val="24"/>
              </w:rPr>
            </w:pPr>
          </w:p>
        </w:tc>
      </w:tr>
      <w:tr w14:paraId="71CD892B">
        <w:tblPrEx>
          <w:tblCellMar>
            <w:top w:w="0" w:type="dxa"/>
            <w:left w:w="0" w:type="dxa"/>
            <w:bottom w:w="0" w:type="dxa"/>
            <w:right w:w="0" w:type="dxa"/>
          </w:tblCellMar>
        </w:tblPrEx>
        <w:trPr>
          <w:jc w:val="center"/>
        </w:trPr>
        <w:tc>
          <w:tcPr>
            <w:tcW w:w="0" w:type="auto"/>
            <w:vMerge w:val="continue"/>
            <w:tcBorders>
              <w:top w:val="nil"/>
              <w:left w:val="single" w:color="000000" w:sz="8" w:space="0"/>
              <w:bottom w:val="single" w:color="000000" w:sz="8" w:space="0"/>
              <w:right w:val="single" w:color="000000" w:sz="8" w:space="0"/>
            </w:tcBorders>
            <w:vAlign w:val="center"/>
          </w:tcPr>
          <w:p w14:paraId="250DA2D9">
            <w:pPr>
              <w:jc w:val="left"/>
              <w:rPr>
                <w:rFonts w:cs="宋体" w:asciiTheme="minorEastAsia" w:hAnsiTheme="minorEastAsia"/>
                <w:kern w:val="0"/>
                <w:sz w:val="24"/>
                <w:szCs w:val="24"/>
              </w:rPr>
            </w:pPr>
          </w:p>
        </w:tc>
        <w:tc>
          <w:tcPr>
            <w:tcW w:w="5331" w:type="dxa"/>
            <w:tcBorders>
              <w:top w:val="nil"/>
              <w:left w:val="nil"/>
              <w:bottom w:val="single" w:color="auto" w:sz="8" w:space="0"/>
              <w:right w:val="single" w:color="000000" w:sz="8" w:space="0"/>
            </w:tcBorders>
            <w:tcMar>
              <w:top w:w="0" w:type="dxa"/>
              <w:left w:w="108" w:type="dxa"/>
              <w:bottom w:w="0" w:type="dxa"/>
              <w:right w:w="108" w:type="dxa"/>
            </w:tcMar>
            <w:vAlign w:val="center"/>
          </w:tcPr>
          <w:p w14:paraId="0658ACFF">
            <w:pPr>
              <w:jc w:val="left"/>
              <w:rPr>
                <w:rFonts w:cs="宋体" w:asciiTheme="minorEastAsia" w:hAnsiTheme="minorEastAsia"/>
                <w:kern w:val="0"/>
                <w:sz w:val="24"/>
                <w:szCs w:val="24"/>
              </w:rPr>
            </w:pPr>
            <w:r>
              <w:rPr>
                <w:rFonts w:cs="宋体" w:asciiTheme="minorEastAsia" w:hAnsiTheme="minorEastAsia"/>
                <w:kern w:val="0"/>
                <w:sz w:val="24"/>
                <w:szCs w:val="24"/>
              </w:rPr>
              <w:t>技术要求是否指向特定的专利、商标、品牌、技术路线等</w:t>
            </w:r>
          </w:p>
        </w:tc>
        <w:tc>
          <w:tcPr>
            <w:tcW w:w="1900" w:type="dxa"/>
            <w:tcBorders>
              <w:top w:val="nil"/>
              <w:left w:val="nil"/>
              <w:bottom w:val="single" w:color="auto" w:sz="8" w:space="0"/>
              <w:right w:val="single" w:color="000000" w:sz="8" w:space="0"/>
            </w:tcBorders>
            <w:tcMar>
              <w:top w:w="0" w:type="dxa"/>
              <w:left w:w="108" w:type="dxa"/>
              <w:bottom w:w="0" w:type="dxa"/>
              <w:right w:w="108" w:type="dxa"/>
            </w:tcMar>
            <w:vAlign w:val="center"/>
          </w:tcPr>
          <w:p w14:paraId="043153EE">
            <w:pPr>
              <w:widowControl/>
              <w:spacing w:line="560" w:lineRule="atLeast"/>
              <w:jc w:val="center"/>
              <w:rPr>
                <w:rFonts w:cs="宋体" w:asciiTheme="minorEastAsia" w:hAnsiTheme="minorEastAsia"/>
                <w:kern w:val="0"/>
                <w:sz w:val="24"/>
                <w:szCs w:val="24"/>
              </w:rPr>
            </w:pPr>
          </w:p>
        </w:tc>
      </w:tr>
      <w:tr w14:paraId="7E1436F5">
        <w:tblPrEx>
          <w:tblCellMar>
            <w:top w:w="0" w:type="dxa"/>
            <w:left w:w="0" w:type="dxa"/>
            <w:bottom w:w="0" w:type="dxa"/>
            <w:right w:w="0" w:type="dxa"/>
          </w:tblCellMar>
        </w:tblPrEx>
        <w:trPr>
          <w:jc w:val="center"/>
        </w:trPr>
        <w:tc>
          <w:tcPr>
            <w:tcW w:w="0" w:type="auto"/>
            <w:vMerge w:val="continue"/>
            <w:tcBorders>
              <w:top w:val="nil"/>
              <w:left w:val="single" w:color="000000" w:sz="8" w:space="0"/>
              <w:bottom w:val="single" w:color="000000" w:sz="8" w:space="0"/>
              <w:right w:val="single" w:color="000000" w:sz="8" w:space="0"/>
            </w:tcBorders>
            <w:vAlign w:val="center"/>
          </w:tcPr>
          <w:p w14:paraId="7BBA9E2F">
            <w:pPr>
              <w:jc w:val="left"/>
              <w:rPr>
                <w:rFonts w:cs="宋体" w:asciiTheme="minorEastAsia" w:hAnsiTheme="minorEastAsia"/>
                <w:kern w:val="0"/>
                <w:sz w:val="24"/>
                <w:szCs w:val="24"/>
              </w:rPr>
            </w:pPr>
          </w:p>
        </w:tc>
        <w:tc>
          <w:tcPr>
            <w:tcW w:w="5331" w:type="dxa"/>
            <w:tcBorders>
              <w:top w:val="nil"/>
              <w:left w:val="nil"/>
              <w:bottom w:val="single" w:color="auto" w:sz="8" w:space="0"/>
              <w:right w:val="single" w:color="000000" w:sz="8" w:space="0"/>
            </w:tcBorders>
            <w:tcMar>
              <w:top w:w="0" w:type="dxa"/>
              <w:left w:w="108" w:type="dxa"/>
              <w:bottom w:w="0" w:type="dxa"/>
              <w:right w:w="108" w:type="dxa"/>
            </w:tcMar>
            <w:vAlign w:val="center"/>
          </w:tcPr>
          <w:p w14:paraId="15DAC796">
            <w:pPr>
              <w:jc w:val="left"/>
              <w:rPr>
                <w:rFonts w:cs="宋体" w:asciiTheme="minorEastAsia" w:hAnsiTheme="minorEastAsia"/>
                <w:kern w:val="0"/>
                <w:sz w:val="24"/>
                <w:szCs w:val="24"/>
              </w:rPr>
            </w:pPr>
            <w:r>
              <w:rPr>
                <w:rFonts w:cs="宋体" w:asciiTheme="minorEastAsia" w:hAnsiTheme="minorEastAsia"/>
                <w:kern w:val="0"/>
                <w:sz w:val="24"/>
                <w:szCs w:val="24"/>
              </w:rPr>
              <w:t>评审因素设置是否具有倾向性</w:t>
            </w:r>
          </w:p>
        </w:tc>
        <w:tc>
          <w:tcPr>
            <w:tcW w:w="1900" w:type="dxa"/>
            <w:tcBorders>
              <w:top w:val="nil"/>
              <w:left w:val="nil"/>
              <w:bottom w:val="single" w:color="auto" w:sz="8" w:space="0"/>
              <w:right w:val="single" w:color="000000" w:sz="8" w:space="0"/>
            </w:tcBorders>
            <w:tcMar>
              <w:top w:w="0" w:type="dxa"/>
              <w:left w:w="108" w:type="dxa"/>
              <w:bottom w:w="0" w:type="dxa"/>
              <w:right w:w="108" w:type="dxa"/>
            </w:tcMar>
            <w:vAlign w:val="center"/>
          </w:tcPr>
          <w:p w14:paraId="34A4B3EB">
            <w:pPr>
              <w:widowControl/>
              <w:spacing w:line="560" w:lineRule="atLeast"/>
              <w:jc w:val="center"/>
              <w:rPr>
                <w:rFonts w:cs="宋体" w:asciiTheme="minorEastAsia" w:hAnsiTheme="minorEastAsia"/>
                <w:kern w:val="0"/>
                <w:sz w:val="24"/>
                <w:szCs w:val="24"/>
              </w:rPr>
            </w:pPr>
          </w:p>
        </w:tc>
      </w:tr>
      <w:tr w14:paraId="386A8ED9">
        <w:tblPrEx>
          <w:tblCellMar>
            <w:top w:w="0" w:type="dxa"/>
            <w:left w:w="0" w:type="dxa"/>
            <w:bottom w:w="0" w:type="dxa"/>
            <w:right w:w="0" w:type="dxa"/>
          </w:tblCellMar>
        </w:tblPrEx>
        <w:trPr>
          <w:jc w:val="center"/>
        </w:trPr>
        <w:tc>
          <w:tcPr>
            <w:tcW w:w="0" w:type="auto"/>
            <w:vMerge w:val="continue"/>
            <w:tcBorders>
              <w:top w:val="nil"/>
              <w:left w:val="single" w:color="000000" w:sz="8" w:space="0"/>
              <w:bottom w:val="single" w:color="000000" w:sz="8" w:space="0"/>
              <w:right w:val="single" w:color="000000" w:sz="8" w:space="0"/>
            </w:tcBorders>
            <w:vAlign w:val="center"/>
          </w:tcPr>
          <w:p w14:paraId="2352C66D">
            <w:pPr>
              <w:jc w:val="left"/>
              <w:rPr>
                <w:rFonts w:cs="宋体" w:asciiTheme="minorEastAsia" w:hAnsiTheme="minorEastAsia"/>
                <w:kern w:val="0"/>
                <w:sz w:val="24"/>
                <w:szCs w:val="24"/>
              </w:rPr>
            </w:pPr>
          </w:p>
        </w:tc>
        <w:tc>
          <w:tcPr>
            <w:tcW w:w="5331"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46794595">
            <w:pPr>
              <w:jc w:val="left"/>
              <w:rPr>
                <w:rFonts w:cs="宋体" w:asciiTheme="minorEastAsia" w:hAnsiTheme="minorEastAsia"/>
                <w:kern w:val="0"/>
                <w:sz w:val="24"/>
                <w:szCs w:val="24"/>
              </w:rPr>
            </w:pPr>
            <w:r>
              <w:rPr>
                <w:rFonts w:cs="宋体" w:asciiTheme="minorEastAsia" w:hAnsiTheme="minorEastAsia"/>
                <w:kern w:val="0"/>
                <w:sz w:val="24"/>
                <w:szCs w:val="24"/>
              </w:rPr>
              <w:t>将有关履约能力作为评审因素是否适当</w:t>
            </w:r>
          </w:p>
        </w:tc>
        <w:tc>
          <w:tcPr>
            <w:tcW w:w="1900"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55973674">
            <w:pPr>
              <w:widowControl/>
              <w:spacing w:line="560" w:lineRule="atLeast"/>
              <w:jc w:val="center"/>
              <w:rPr>
                <w:rFonts w:cs="宋体" w:asciiTheme="minorEastAsia" w:hAnsiTheme="minorEastAsia"/>
                <w:kern w:val="0"/>
                <w:sz w:val="24"/>
                <w:szCs w:val="24"/>
              </w:rPr>
            </w:pPr>
          </w:p>
        </w:tc>
      </w:tr>
      <w:tr w14:paraId="17342A0B">
        <w:tblPrEx>
          <w:tblCellMar>
            <w:top w:w="0" w:type="dxa"/>
            <w:left w:w="0" w:type="dxa"/>
            <w:bottom w:w="0" w:type="dxa"/>
            <w:right w:w="0" w:type="dxa"/>
          </w:tblCellMar>
        </w:tblPrEx>
        <w:trPr>
          <w:jc w:val="center"/>
        </w:trPr>
        <w:tc>
          <w:tcPr>
            <w:tcW w:w="2327" w:type="dxa"/>
            <w:vMerge w:val="restart"/>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14:paraId="1C857AF9">
            <w:pPr>
              <w:jc w:val="left"/>
              <w:rPr>
                <w:rFonts w:cs="宋体" w:asciiTheme="minorEastAsia" w:hAnsiTheme="minorEastAsia"/>
                <w:kern w:val="0"/>
                <w:sz w:val="24"/>
                <w:szCs w:val="24"/>
              </w:rPr>
            </w:pPr>
            <w:r>
              <w:rPr>
                <w:rFonts w:cs="宋体" w:asciiTheme="minorEastAsia" w:hAnsiTheme="minorEastAsia"/>
                <w:kern w:val="0"/>
                <w:sz w:val="24"/>
                <w:szCs w:val="24"/>
              </w:rPr>
              <w:t>（二）竞争性审查（主要审查是否确保充分竞争）</w:t>
            </w:r>
          </w:p>
        </w:tc>
        <w:tc>
          <w:tcPr>
            <w:tcW w:w="5331" w:type="dxa"/>
            <w:tcBorders>
              <w:top w:val="nil"/>
              <w:left w:val="nil"/>
              <w:bottom w:val="single" w:color="auto" w:sz="8" w:space="0"/>
              <w:right w:val="single" w:color="000000" w:sz="8" w:space="0"/>
            </w:tcBorders>
            <w:tcMar>
              <w:top w:w="0" w:type="dxa"/>
              <w:left w:w="108" w:type="dxa"/>
              <w:bottom w:w="0" w:type="dxa"/>
              <w:right w:w="108" w:type="dxa"/>
            </w:tcMar>
            <w:vAlign w:val="center"/>
          </w:tcPr>
          <w:p w14:paraId="2458FD8E">
            <w:pPr>
              <w:jc w:val="left"/>
              <w:rPr>
                <w:rFonts w:cs="宋体" w:asciiTheme="minorEastAsia" w:hAnsiTheme="minorEastAsia"/>
                <w:kern w:val="0"/>
                <w:sz w:val="24"/>
                <w:szCs w:val="24"/>
              </w:rPr>
            </w:pPr>
            <w:r>
              <w:rPr>
                <w:rFonts w:cs="宋体" w:asciiTheme="minorEastAsia" w:hAnsiTheme="minorEastAsia"/>
                <w:kern w:val="0"/>
                <w:sz w:val="24"/>
                <w:szCs w:val="24"/>
              </w:rPr>
              <w:t>应当以公开方式邀请供应商的，是否依法采用公开竞争方式</w:t>
            </w:r>
          </w:p>
        </w:tc>
        <w:tc>
          <w:tcPr>
            <w:tcW w:w="1900" w:type="dxa"/>
            <w:tcBorders>
              <w:top w:val="nil"/>
              <w:left w:val="nil"/>
              <w:bottom w:val="single" w:color="auto" w:sz="8" w:space="0"/>
              <w:right w:val="single" w:color="000000" w:sz="8" w:space="0"/>
            </w:tcBorders>
            <w:tcMar>
              <w:top w:w="0" w:type="dxa"/>
              <w:left w:w="108" w:type="dxa"/>
              <w:bottom w:w="0" w:type="dxa"/>
              <w:right w:w="108" w:type="dxa"/>
            </w:tcMar>
            <w:vAlign w:val="center"/>
          </w:tcPr>
          <w:p w14:paraId="1A9D143C">
            <w:pPr>
              <w:widowControl/>
              <w:spacing w:line="560" w:lineRule="atLeast"/>
              <w:jc w:val="center"/>
              <w:rPr>
                <w:rFonts w:cs="宋体" w:asciiTheme="minorEastAsia" w:hAnsiTheme="minorEastAsia"/>
                <w:kern w:val="0"/>
                <w:sz w:val="24"/>
                <w:szCs w:val="24"/>
              </w:rPr>
            </w:pPr>
          </w:p>
        </w:tc>
      </w:tr>
      <w:tr w14:paraId="3313D0D6">
        <w:tblPrEx>
          <w:tblCellMar>
            <w:top w:w="0" w:type="dxa"/>
            <w:left w:w="0" w:type="dxa"/>
            <w:bottom w:w="0" w:type="dxa"/>
            <w:right w:w="0" w:type="dxa"/>
          </w:tblCellMar>
        </w:tblPrEx>
        <w:trPr>
          <w:jc w:val="center"/>
        </w:trPr>
        <w:tc>
          <w:tcPr>
            <w:tcW w:w="0" w:type="auto"/>
            <w:vMerge w:val="continue"/>
            <w:tcBorders>
              <w:top w:val="nil"/>
              <w:left w:val="single" w:color="000000" w:sz="8" w:space="0"/>
              <w:bottom w:val="single" w:color="000000" w:sz="8" w:space="0"/>
              <w:right w:val="single" w:color="000000" w:sz="8" w:space="0"/>
            </w:tcBorders>
            <w:vAlign w:val="center"/>
          </w:tcPr>
          <w:p w14:paraId="1D001333">
            <w:pPr>
              <w:jc w:val="left"/>
              <w:rPr>
                <w:rFonts w:cs="宋体" w:asciiTheme="minorEastAsia" w:hAnsiTheme="minorEastAsia"/>
                <w:kern w:val="0"/>
                <w:sz w:val="24"/>
                <w:szCs w:val="24"/>
              </w:rPr>
            </w:pPr>
          </w:p>
        </w:tc>
        <w:tc>
          <w:tcPr>
            <w:tcW w:w="5331" w:type="dxa"/>
            <w:tcBorders>
              <w:top w:val="nil"/>
              <w:left w:val="nil"/>
              <w:bottom w:val="single" w:color="auto" w:sz="8" w:space="0"/>
              <w:right w:val="single" w:color="000000" w:sz="8" w:space="0"/>
            </w:tcBorders>
            <w:tcMar>
              <w:top w:w="0" w:type="dxa"/>
              <w:left w:w="108" w:type="dxa"/>
              <w:bottom w:w="0" w:type="dxa"/>
              <w:right w:w="108" w:type="dxa"/>
            </w:tcMar>
            <w:vAlign w:val="center"/>
          </w:tcPr>
          <w:p w14:paraId="0DD9973C">
            <w:pPr>
              <w:jc w:val="left"/>
              <w:rPr>
                <w:rFonts w:cs="宋体" w:asciiTheme="minorEastAsia" w:hAnsiTheme="minorEastAsia"/>
                <w:kern w:val="0"/>
                <w:sz w:val="24"/>
                <w:szCs w:val="24"/>
              </w:rPr>
            </w:pPr>
            <w:r>
              <w:rPr>
                <w:rFonts w:cs="宋体" w:asciiTheme="minorEastAsia" w:hAnsiTheme="minorEastAsia"/>
                <w:kern w:val="0"/>
                <w:sz w:val="24"/>
                <w:szCs w:val="24"/>
              </w:rPr>
              <w:t>采用单一来源采购方式的，是否符合法定情形</w:t>
            </w:r>
          </w:p>
        </w:tc>
        <w:tc>
          <w:tcPr>
            <w:tcW w:w="1900" w:type="dxa"/>
            <w:tcBorders>
              <w:top w:val="nil"/>
              <w:left w:val="nil"/>
              <w:bottom w:val="single" w:color="auto" w:sz="8" w:space="0"/>
              <w:right w:val="single" w:color="000000" w:sz="8" w:space="0"/>
            </w:tcBorders>
            <w:tcMar>
              <w:top w:w="0" w:type="dxa"/>
              <w:left w:w="108" w:type="dxa"/>
              <w:bottom w:w="0" w:type="dxa"/>
              <w:right w:w="108" w:type="dxa"/>
            </w:tcMar>
            <w:vAlign w:val="center"/>
          </w:tcPr>
          <w:p w14:paraId="44087927">
            <w:pPr>
              <w:widowControl/>
              <w:spacing w:line="560" w:lineRule="atLeast"/>
              <w:jc w:val="center"/>
              <w:rPr>
                <w:rFonts w:cs="宋体" w:asciiTheme="minorEastAsia" w:hAnsiTheme="minorEastAsia"/>
                <w:kern w:val="0"/>
                <w:sz w:val="24"/>
                <w:szCs w:val="24"/>
              </w:rPr>
            </w:pPr>
          </w:p>
        </w:tc>
      </w:tr>
      <w:tr w14:paraId="371C08BE">
        <w:tblPrEx>
          <w:tblCellMar>
            <w:top w:w="0" w:type="dxa"/>
            <w:left w:w="0" w:type="dxa"/>
            <w:bottom w:w="0" w:type="dxa"/>
            <w:right w:w="0" w:type="dxa"/>
          </w:tblCellMar>
        </w:tblPrEx>
        <w:trPr>
          <w:jc w:val="center"/>
        </w:trPr>
        <w:tc>
          <w:tcPr>
            <w:tcW w:w="0" w:type="auto"/>
            <w:vMerge w:val="continue"/>
            <w:tcBorders>
              <w:top w:val="nil"/>
              <w:left w:val="single" w:color="000000" w:sz="8" w:space="0"/>
              <w:bottom w:val="single" w:color="000000" w:sz="8" w:space="0"/>
              <w:right w:val="single" w:color="000000" w:sz="8" w:space="0"/>
            </w:tcBorders>
            <w:vAlign w:val="center"/>
          </w:tcPr>
          <w:p w14:paraId="60FF9005">
            <w:pPr>
              <w:jc w:val="left"/>
              <w:rPr>
                <w:rFonts w:cs="宋体" w:asciiTheme="minorEastAsia" w:hAnsiTheme="minorEastAsia"/>
                <w:kern w:val="0"/>
                <w:sz w:val="24"/>
                <w:szCs w:val="24"/>
              </w:rPr>
            </w:pPr>
          </w:p>
        </w:tc>
        <w:tc>
          <w:tcPr>
            <w:tcW w:w="5331" w:type="dxa"/>
            <w:tcBorders>
              <w:top w:val="nil"/>
              <w:left w:val="nil"/>
              <w:bottom w:val="single" w:color="auto" w:sz="8" w:space="0"/>
              <w:right w:val="single" w:color="000000" w:sz="8" w:space="0"/>
            </w:tcBorders>
            <w:tcMar>
              <w:top w:w="0" w:type="dxa"/>
              <w:left w:w="108" w:type="dxa"/>
              <w:bottom w:w="0" w:type="dxa"/>
              <w:right w:w="108" w:type="dxa"/>
            </w:tcMar>
            <w:vAlign w:val="center"/>
          </w:tcPr>
          <w:p w14:paraId="2C733D9D">
            <w:pPr>
              <w:jc w:val="left"/>
              <w:rPr>
                <w:rFonts w:cs="宋体" w:asciiTheme="minorEastAsia" w:hAnsiTheme="minorEastAsia"/>
                <w:kern w:val="0"/>
                <w:sz w:val="24"/>
                <w:szCs w:val="24"/>
              </w:rPr>
            </w:pPr>
            <w:r>
              <w:rPr>
                <w:rFonts w:cs="宋体" w:asciiTheme="minorEastAsia" w:hAnsiTheme="minorEastAsia"/>
                <w:kern w:val="0"/>
                <w:sz w:val="24"/>
                <w:szCs w:val="24"/>
              </w:rPr>
              <w:t>采购需求的内容是否完整、明确</w:t>
            </w:r>
          </w:p>
        </w:tc>
        <w:tc>
          <w:tcPr>
            <w:tcW w:w="1900" w:type="dxa"/>
            <w:tcBorders>
              <w:top w:val="nil"/>
              <w:left w:val="nil"/>
              <w:bottom w:val="single" w:color="auto" w:sz="8" w:space="0"/>
              <w:right w:val="single" w:color="000000" w:sz="8" w:space="0"/>
            </w:tcBorders>
            <w:tcMar>
              <w:top w:w="0" w:type="dxa"/>
              <w:left w:w="108" w:type="dxa"/>
              <w:bottom w:w="0" w:type="dxa"/>
              <w:right w:w="108" w:type="dxa"/>
            </w:tcMar>
            <w:vAlign w:val="center"/>
          </w:tcPr>
          <w:p w14:paraId="081BE2C3">
            <w:pPr>
              <w:widowControl/>
              <w:spacing w:line="560" w:lineRule="atLeast"/>
              <w:jc w:val="center"/>
              <w:rPr>
                <w:rFonts w:cs="宋体" w:asciiTheme="minorEastAsia" w:hAnsiTheme="minorEastAsia"/>
                <w:kern w:val="0"/>
                <w:sz w:val="24"/>
                <w:szCs w:val="24"/>
              </w:rPr>
            </w:pPr>
          </w:p>
        </w:tc>
      </w:tr>
      <w:tr w14:paraId="5208FFB0">
        <w:tblPrEx>
          <w:tblCellMar>
            <w:top w:w="0" w:type="dxa"/>
            <w:left w:w="0" w:type="dxa"/>
            <w:bottom w:w="0" w:type="dxa"/>
            <w:right w:w="0" w:type="dxa"/>
          </w:tblCellMar>
        </w:tblPrEx>
        <w:trPr>
          <w:jc w:val="center"/>
        </w:trPr>
        <w:tc>
          <w:tcPr>
            <w:tcW w:w="0" w:type="auto"/>
            <w:vMerge w:val="continue"/>
            <w:tcBorders>
              <w:top w:val="nil"/>
              <w:left w:val="single" w:color="000000" w:sz="8" w:space="0"/>
              <w:bottom w:val="single" w:color="000000" w:sz="8" w:space="0"/>
              <w:right w:val="single" w:color="000000" w:sz="8" w:space="0"/>
            </w:tcBorders>
            <w:vAlign w:val="center"/>
          </w:tcPr>
          <w:p w14:paraId="59F7EF8D">
            <w:pPr>
              <w:jc w:val="left"/>
              <w:rPr>
                <w:rFonts w:cs="宋体" w:asciiTheme="minorEastAsia" w:hAnsiTheme="minorEastAsia"/>
                <w:kern w:val="0"/>
                <w:sz w:val="24"/>
                <w:szCs w:val="24"/>
              </w:rPr>
            </w:pPr>
          </w:p>
        </w:tc>
        <w:tc>
          <w:tcPr>
            <w:tcW w:w="5331" w:type="dxa"/>
            <w:tcBorders>
              <w:top w:val="nil"/>
              <w:left w:val="nil"/>
              <w:bottom w:val="single" w:color="auto" w:sz="8" w:space="0"/>
              <w:right w:val="single" w:color="000000" w:sz="8" w:space="0"/>
            </w:tcBorders>
            <w:tcMar>
              <w:top w:w="0" w:type="dxa"/>
              <w:left w:w="108" w:type="dxa"/>
              <w:bottom w:w="0" w:type="dxa"/>
              <w:right w:w="108" w:type="dxa"/>
            </w:tcMar>
            <w:vAlign w:val="center"/>
          </w:tcPr>
          <w:p w14:paraId="658718E7">
            <w:pPr>
              <w:jc w:val="left"/>
              <w:rPr>
                <w:rFonts w:cs="宋体" w:asciiTheme="minorEastAsia" w:hAnsiTheme="minorEastAsia"/>
                <w:kern w:val="0"/>
                <w:sz w:val="24"/>
                <w:szCs w:val="24"/>
              </w:rPr>
            </w:pPr>
            <w:r>
              <w:rPr>
                <w:rFonts w:cs="宋体" w:asciiTheme="minorEastAsia" w:hAnsiTheme="minorEastAsia"/>
                <w:kern w:val="0"/>
                <w:sz w:val="24"/>
                <w:szCs w:val="24"/>
              </w:rPr>
              <w:t>采购需求的内容是否考虑后续采购竞争性</w:t>
            </w:r>
          </w:p>
        </w:tc>
        <w:tc>
          <w:tcPr>
            <w:tcW w:w="1900" w:type="dxa"/>
            <w:tcBorders>
              <w:top w:val="nil"/>
              <w:left w:val="nil"/>
              <w:bottom w:val="single" w:color="auto" w:sz="8" w:space="0"/>
              <w:right w:val="single" w:color="000000" w:sz="8" w:space="0"/>
            </w:tcBorders>
            <w:tcMar>
              <w:top w:w="0" w:type="dxa"/>
              <w:left w:w="108" w:type="dxa"/>
              <w:bottom w:w="0" w:type="dxa"/>
              <w:right w:w="108" w:type="dxa"/>
            </w:tcMar>
            <w:vAlign w:val="center"/>
          </w:tcPr>
          <w:p w14:paraId="2E2E0BA3">
            <w:pPr>
              <w:widowControl/>
              <w:spacing w:line="560" w:lineRule="atLeast"/>
              <w:jc w:val="center"/>
              <w:rPr>
                <w:rFonts w:cs="宋体" w:asciiTheme="minorEastAsia" w:hAnsiTheme="minorEastAsia"/>
                <w:kern w:val="0"/>
                <w:sz w:val="24"/>
                <w:szCs w:val="24"/>
              </w:rPr>
            </w:pPr>
          </w:p>
        </w:tc>
      </w:tr>
      <w:tr w14:paraId="750BD156">
        <w:tblPrEx>
          <w:tblCellMar>
            <w:top w:w="0" w:type="dxa"/>
            <w:left w:w="0" w:type="dxa"/>
            <w:bottom w:w="0" w:type="dxa"/>
            <w:right w:w="0" w:type="dxa"/>
          </w:tblCellMar>
        </w:tblPrEx>
        <w:trPr>
          <w:jc w:val="center"/>
        </w:trPr>
        <w:tc>
          <w:tcPr>
            <w:tcW w:w="0" w:type="auto"/>
            <w:vMerge w:val="continue"/>
            <w:tcBorders>
              <w:top w:val="nil"/>
              <w:left w:val="single" w:color="000000" w:sz="8" w:space="0"/>
              <w:bottom w:val="single" w:color="000000" w:sz="8" w:space="0"/>
              <w:right w:val="single" w:color="000000" w:sz="8" w:space="0"/>
            </w:tcBorders>
            <w:vAlign w:val="center"/>
          </w:tcPr>
          <w:p w14:paraId="4D601A64">
            <w:pPr>
              <w:jc w:val="left"/>
              <w:rPr>
                <w:rFonts w:cs="宋体" w:asciiTheme="minorEastAsia" w:hAnsiTheme="minorEastAsia"/>
                <w:kern w:val="0"/>
                <w:sz w:val="24"/>
                <w:szCs w:val="24"/>
              </w:rPr>
            </w:pPr>
          </w:p>
        </w:tc>
        <w:tc>
          <w:tcPr>
            <w:tcW w:w="5331"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18E05634">
            <w:pPr>
              <w:jc w:val="left"/>
              <w:rPr>
                <w:rFonts w:cs="宋体" w:asciiTheme="minorEastAsia" w:hAnsiTheme="minorEastAsia"/>
                <w:kern w:val="0"/>
                <w:sz w:val="24"/>
                <w:szCs w:val="24"/>
              </w:rPr>
            </w:pPr>
            <w:r>
              <w:rPr>
                <w:rFonts w:cs="宋体" w:asciiTheme="minorEastAsia" w:hAnsiTheme="minorEastAsia"/>
                <w:kern w:val="0"/>
                <w:sz w:val="24"/>
                <w:szCs w:val="24"/>
              </w:rPr>
              <w:t>评审方法、评审因素、价格权重等评审规则是否适当</w:t>
            </w:r>
          </w:p>
        </w:tc>
        <w:tc>
          <w:tcPr>
            <w:tcW w:w="1900"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7C853E1C">
            <w:pPr>
              <w:widowControl/>
              <w:spacing w:line="560" w:lineRule="atLeast"/>
              <w:jc w:val="center"/>
              <w:rPr>
                <w:rFonts w:cs="宋体" w:asciiTheme="minorEastAsia" w:hAnsiTheme="minorEastAsia"/>
                <w:kern w:val="0"/>
                <w:sz w:val="24"/>
                <w:szCs w:val="24"/>
              </w:rPr>
            </w:pPr>
          </w:p>
        </w:tc>
      </w:tr>
      <w:tr w14:paraId="3801AA60">
        <w:tblPrEx>
          <w:tblCellMar>
            <w:top w:w="0" w:type="dxa"/>
            <w:left w:w="0" w:type="dxa"/>
            <w:bottom w:w="0" w:type="dxa"/>
            <w:right w:w="0" w:type="dxa"/>
          </w:tblCellMar>
        </w:tblPrEx>
        <w:trPr>
          <w:jc w:val="center"/>
        </w:trPr>
        <w:tc>
          <w:tcPr>
            <w:tcW w:w="2327" w:type="dxa"/>
            <w:vMerge w:val="restart"/>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14:paraId="68C2FF55">
            <w:pPr>
              <w:jc w:val="left"/>
              <w:rPr>
                <w:rFonts w:cs="宋体" w:asciiTheme="minorEastAsia" w:hAnsiTheme="minorEastAsia"/>
                <w:kern w:val="0"/>
                <w:sz w:val="24"/>
                <w:szCs w:val="24"/>
              </w:rPr>
            </w:pPr>
            <w:r>
              <w:rPr>
                <w:rFonts w:cs="宋体" w:asciiTheme="minorEastAsia" w:hAnsiTheme="minorEastAsia"/>
                <w:kern w:val="0"/>
                <w:sz w:val="24"/>
                <w:szCs w:val="24"/>
              </w:rPr>
              <w:t>（三）采购政策审查</w:t>
            </w:r>
          </w:p>
        </w:tc>
        <w:tc>
          <w:tcPr>
            <w:tcW w:w="5331" w:type="dxa"/>
            <w:tcBorders>
              <w:top w:val="nil"/>
              <w:left w:val="nil"/>
              <w:bottom w:val="single" w:color="auto" w:sz="8" w:space="0"/>
              <w:right w:val="single" w:color="000000" w:sz="8" w:space="0"/>
            </w:tcBorders>
            <w:tcMar>
              <w:top w:w="0" w:type="dxa"/>
              <w:left w:w="108" w:type="dxa"/>
              <w:bottom w:w="0" w:type="dxa"/>
              <w:right w:w="108" w:type="dxa"/>
            </w:tcMar>
            <w:vAlign w:val="center"/>
          </w:tcPr>
          <w:p w14:paraId="4468ABF9">
            <w:pPr>
              <w:jc w:val="left"/>
              <w:rPr>
                <w:rFonts w:cs="宋体" w:asciiTheme="minorEastAsia" w:hAnsiTheme="minorEastAsia"/>
                <w:kern w:val="0"/>
                <w:sz w:val="24"/>
                <w:szCs w:val="24"/>
              </w:rPr>
            </w:pPr>
            <w:r>
              <w:rPr>
                <w:rFonts w:cs="宋体" w:asciiTheme="minorEastAsia" w:hAnsiTheme="minorEastAsia"/>
                <w:kern w:val="0"/>
                <w:sz w:val="24"/>
                <w:szCs w:val="24"/>
              </w:rPr>
              <w:t>进口产品的采购是否必要</w:t>
            </w:r>
          </w:p>
        </w:tc>
        <w:tc>
          <w:tcPr>
            <w:tcW w:w="1900" w:type="dxa"/>
            <w:tcBorders>
              <w:top w:val="nil"/>
              <w:left w:val="nil"/>
              <w:bottom w:val="single" w:color="auto" w:sz="8" w:space="0"/>
              <w:right w:val="single" w:color="000000" w:sz="8" w:space="0"/>
            </w:tcBorders>
            <w:tcMar>
              <w:top w:w="0" w:type="dxa"/>
              <w:left w:w="108" w:type="dxa"/>
              <w:bottom w:w="0" w:type="dxa"/>
              <w:right w:w="108" w:type="dxa"/>
            </w:tcMar>
            <w:vAlign w:val="center"/>
          </w:tcPr>
          <w:p w14:paraId="4A249E82">
            <w:pPr>
              <w:widowControl/>
              <w:spacing w:line="560" w:lineRule="atLeast"/>
              <w:jc w:val="center"/>
              <w:rPr>
                <w:rFonts w:cs="宋体" w:asciiTheme="minorEastAsia" w:hAnsiTheme="minorEastAsia"/>
                <w:kern w:val="0"/>
                <w:sz w:val="24"/>
                <w:szCs w:val="24"/>
              </w:rPr>
            </w:pPr>
          </w:p>
        </w:tc>
      </w:tr>
      <w:tr w14:paraId="54675C97">
        <w:tblPrEx>
          <w:tblCellMar>
            <w:top w:w="0" w:type="dxa"/>
            <w:left w:w="0" w:type="dxa"/>
            <w:bottom w:w="0" w:type="dxa"/>
            <w:right w:w="0" w:type="dxa"/>
          </w:tblCellMar>
        </w:tblPrEx>
        <w:trPr>
          <w:jc w:val="center"/>
        </w:trPr>
        <w:tc>
          <w:tcPr>
            <w:tcW w:w="0" w:type="auto"/>
            <w:vMerge w:val="continue"/>
            <w:tcBorders>
              <w:top w:val="nil"/>
              <w:left w:val="single" w:color="000000" w:sz="8" w:space="0"/>
              <w:bottom w:val="single" w:color="000000" w:sz="8" w:space="0"/>
              <w:right w:val="single" w:color="000000" w:sz="8" w:space="0"/>
            </w:tcBorders>
            <w:vAlign w:val="center"/>
          </w:tcPr>
          <w:p w14:paraId="54B49E01">
            <w:pPr>
              <w:jc w:val="left"/>
              <w:rPr>
                <w:rFonts w:cs="宋体" w:asciiTheme="minorEastAsia" w:hAnsiTheme="minorEastAsia"/>
                <w:kern w:val="0"/>
                <w:sz w:val="24"/>
                <w:szCs w:val="24"/>
              </w:rPr>
            </w:pPr>
          </w:p>
        </w:tc>
        <w:tc>
          <w:tcPr>
            <w:tcW w:w="5331" w:type="dxa"/>
            <w:tcBorders>
              <w:top w:val="nil"/>
              <w:left w:val="nil"/>
              <w:bottom w:val="single" w:color="auto" w:sz="8" w:space="0"/>
              <w:right w:val="single" w:color="000000" w:sz="8" w:space="0"/>
            </w:tcBorders>
            <w:tcMar>
              <w:top w:w="0" w:type="dxa"/>
              <w:left w:w="108" w:type="dxa"/>
              <w:bottom w:w="0" w:type="dxa"/>
              <w:right w:w="108" w:type="dxa"/>
            </w:tcMar>
            <w:vAlign w:val="center"/>
          </w:tcPr>
          <w:p w14:paraId="7E9BAE90">
            <w:pPr>
              <w:jc w:val="left"/>
              <w:rPr>
                <w:rFonts w:cs="宋体" w:asciiTheme="minorEastAsia" w:hAnsiTheme="minorEastAsia"/>
                <w:kern w:val="0"/>
                <w:sz w:val="24"/>
                <w:szCs w:val="24"/>
              </w:rPr>
            </w:pPr>
            <w:r>
              <w:rPr>
                <w:rFonts w:cs="宋体" w:asciiTheme="minorEastAsia" w:hAnsiTheme="minorEastAsia"/>
                <w:kern w:val="0"/>
                <w:sz w:val="24"/>
                <w:szCs w:val="24"/>
              </w:rPr>
              <w:t>是否落实绿色发展、节能环保政府采购政策要求</w:t>
            </w:r>
          </w:p>
        </w:tc>
        <w:tc>
          <w:tcPr>
            <w:tcW w:w="1900" w:type="dxa"/>
            <w:tcBorders>
              <w:top w:val="nil"/>
              <w:left w:val="nil"/>
              <w:bottom w:val="single" w:color="auto" w:sz="8" w:space="0"/>
              <w:right w:val="single" w:color="000000" w:sz="8" w:space="0"/>
            </w:tcBorders>
            <w:tcMar>
              <w:top w:w="0" w:type="dxa"/>
              <w:left w:w="108" w:type="dxa"/>
              <w:bottom w:w="0" w:type="dxa"/>
              <w:right w:w="108" w:type="dxa"/>
            </w:tcMar>
            <w:vAlign w:val="center"/>
          </w:tcPr>
          <w:p w14:paraId="0EC56BF0">
            <w:pPr>
              <w:widowControl/>
              <w:spacing w:line="560" w:lineRule="atLeast"/>
              <w:jc w:val="center"/>
              <w:rPr>
                <w:rFonts w:cs="宋体" w:asciiTheme="minorEastAsia" w:hAnsiTheme="minorEastAsia"/>
                <w:kern w:val="0"/>
                <w:sz w:val="24"/>
                <w:szCs w:val="24"/>
              </w:rPr>
            </w:pPr>
          </w:p>
        </w:tc>
      </w:tr>
      <w:tr w14:paraId="266E7432">
        <w:tblPrEx>
          <w:tblCellMar>
            <w:top w:w="0" w:type="dxa"/>
            <w:left w:w="0" w:type="dxa"/>
            <w:bottom w:w="0" w:type="dxa"/>
            <w:right w:w="0" w:type="dxa"/>
          </w:tblCellMar>
        </w:tblPrEx>
        <w:trPr>
          <w:jc w:val="center"/>
        </w:trPr>
        <w:tc>
          <w:tcPr>
            <w:tcW w:w="0" w:type="auto"/>
            <w:vMerge w:val="continue"/>
            <w:tcBorders>
              <w:top w:val="nil"/>
              <w:left w:val="single" w:color="000000" w:sz="8" w:space="0"/>
              <w:bottom w:val="single" w:color="000000" w:sz="8" w:space="0"/>
              <w:right w:val="single" w:color="000000" w:sz="8" w:space="0"/>
            </w:tcBorders>
            <w:vAlign w:val="center"/>
          </w:tcPr>
          <w:p w14:paraId="5B44B748">
            <w:pPr>
              <w:jc w:val="left"/>
              <w:rPr>
                <w:rFonts w:cs="宋体" w:asciiTheme="minorEastAsia" w:hAnsiTheme="minorEastAsia"/>
                <w:kern w:val="0"/>
                <w:sz w:val="24"/>
                <w:szCs w:val="24"/>
              </w:rPr>
            </w:pPr>
          </w:p>
        </w:tc>
        <w:tc>
          <w:tcPr>
            <w:tcW w:w="5331" w:type="dxa"/>
            <w:tcBorders>
              <w:top w:val="nil"/>
              <w:left w:val="nil"/>
              <w:bottom w:val="single" w:color="auto" w:sz="8" w:space="0"/>
              <w:right w:val="single" w:color="000000" w:sz="8" w:space="0"/>
            </w:tcBorders>
            <w:tcMar>
              <w:top w:w="0" w:type="dxa"/>
              <w:left w:w="108" w:type="dxa"/>
              <w:bottom w:w="0" w:type="dxa"/>
              <w:right w:w="108" w:type="dxa"/>
            </w:tcMar>
            <w:vAlign w:val="center"/>
          </w:tcPr>
          <w:p w14:paraId="6DBB0A70">
            <w:pPr>
              <w:jc w:val="left"/>
              <w:rPr>
                <w:rFonts w:cs="宋体" w:asciiTheme="minorEastAsia" w:hAnsiTheme="minorEastAsia"/>
                <w:kern w:val="0"/>
                <w:sz w:val="24"/>
                <w:szCs w:val="24"/>
              </w:rPr>
            </w:pPr>
            <w:r>
              <w:rPr>
                <w:rFonts w:cs="宋体" w:asciiTheme="minorEastAsia" w:hAnsiTheme="minorEastAsia"/>
                <w:kern w:val="0"/>
                <w:sz w:val="24"/>
                <w:szCs w:val="24"/>
              </w:rPr>
              <w:t>是否落实中小企业发展政府采购政策要求</w:t>
            </w:r>
          </w:p>
        </w:tc>
        <w:tc>
          <w:tcPr>
            <w:tcW w:w="1900" w:type="dxa"/>
            <w:tcBorders>
              <w:top w:val="nil"/>
              <w:left w:val="nil"/>
              <w:bottom w:val="single" w:color="auto" w:sz="8" w:space="0"/>
              <w:right w:val="single" w:color="000000" w:sz="8" w:space="0"/>
            </w:tcBorders>
            <w:tcMar>
              <w:top w:w="0" w:type="dxa"/>
              <w:left w:w="108" w:type="dxa"/>
              <w:bottom w:w="0" w:type="dxa"/>
              <w:right w:w="108" w:type="dxa"/>
            </w:tcMar>
            <w:vAlign w:val="center"/>
          </w:tcPr>
          <w:p w14:paraId="312D9205">
            <w:pPr>
              <w:widowControl/>
              <w:spacing w:line="560" w:lineRule="atLeast"/>
              <w:jc w:val="center"/>
              <w:rPr>
                <w:rFonts w:cs="宋体" w:asciiTheme="minorEastAsia" w:hAnsiTheme="minorEastAsia"/>
                <w:kern w:val="0"/>
                <w:sz w:val="24"/>
                <w:szCs w:val="24"/>
              </w:rPr>
            </w:pPr>
          </w:p>
        </w:tc>
      </w:tr>
      <w:tr w14:paraId="6BCB28C2">
        <w:tblPrEx>
          <w:tblCellMar>
            <w:top w:w="0" w:type="dxa"/>
            <w:left w:w="0" w:type="dxa"/>
            <w:bottom w:w="0" w:type="dxa"/>
            <w:right w:w="0" w:type="dxa"/>
          </w:tblCellMar>
        </w:tblPrEx>
        <w:trPr>
          <w:jc w:val="center"/>
        </w:trPr>
        <w:tc>
          <w:tcPr>
            <w:tcW w:w="0" w:type="auto"/>
            <w:vMerge w:val="continue"/>
            <w:tcBorders>
              <w:top w:val="nil"/>
              <w:left w:val="single" w:color="000000" w:sz="8" w:space="0"/>
              <w:bottom w:val="single" w:color="000000" w:sz="8" w:space="0"/>
              <w:right w:val="single" w:color="000000" w:sz="8" w:space="0"/>
            </w:tcBorders>
            <w:vAlign w:val="center"/>
          </w:tcPr>
          <w:p w14:paraId="1FB30EE7">
            <w:pPr>
              <w:jc w:val="left"/>
              <w:rPr>
                <w:rFonts w:cs="宋体" w:asciiTheme="minorEastAsia" w:hAnsiTheme="minorEastAsia"/>
                <w:kern w:val="0"/>
                <w:sz w:val="24"/>
                <w:szCs w:val="24"/>
              </w:rPr>
            </w:pPr>
          </w:p>
        </w:tc>
        <w:tc>
          <w:tcPr>
            <w:tcW w:w="5331" w:type="dxa"/>
            <w:tcBorders>
              <w:top w:val="nil"/>
              <w:left w:val="nil"/>
              <w:bottom w:val="single" w:color="auto" w:sz="8" w:space="0"/>
              <w:right w:val="single" w:color="000000" w:sz="8" w:space="0"/>
            </w:tcBorders>
            <w:tcMar>
              <w:top w:w="0" w:type="dxa"/>
              <w:left w:w="108" w:type="dxa"/>
              <w:bottom w:w="0" w:type="dxa"/>
              <w:right w:w="108" w:type="dxa"/>
            </w:tcMar>
            <w:vAlign w:val="center"/>
          </w:tcPr>
          <w:p w14:paraId="0B83C764">
            <w:pPr>
              <w:jc w:val="left"/>
              <w:rPr>
                <w:rFonts w:cs="宋体" w:asciiTheme="minorEastAsia" w:hAnsiTheme="minorEastAsia"/>
                <w:kern w:val="0"/>
                <w:sz w:val="24"/>
                <w:szCs w:val="24"/>
              </w:rPr>
            </w:pPr>
            <w:r>
              <w:rPr>
                <w:rFonts w:cs="宋体" w:asciiTheme="minorEastAsia" w:hAnsiTheme="minorEastAsia"/>
                <w:kern w:val="0"/>
                <w:sz w:val="24"/>
                <w:szCs w:val="24"/>
              </w:rPr>
              <w:t>是否落实支持监狱发展政府采购政策要求</w:t>
            </w:r>
          </w:p>
        </w:tc>
        <w:tc>
          <w:tcPr>
            <w:tcW w:w="1900" w:type="dxa"/>
            <w:tcBorders>
              <w:top w:val="nil"/>
              <w:left w:val="nil"/>
              <w:bottom w:val="single" w:color="auto" w:sz="8" w:space="0"/>
              <w:right w:val="single" w:color="000000" w:sz="8" w:space="0"/>
            </w:tcBorders>
            <w:tcMar>
              <w:top w:w="0" w:type="dxa"/>
              <w:left w:w="108" w:type="dxa"/>
              <w:bottom w:w="0" w:type="dxa"/>
              <w:right w:w="108" w:type="dxa"/>
            </w:tcMar>
            <w:vAlign w:val="center"/>
          </w:tcPr>
          <w:p w14:paraId="4DD0B184">
            <w:pPr>
              <w:widowControl/>
              <w:spacing w:line="560" w:lineRule="atLeast"/>
              <w:jc w:val="center"/>
              <w:rPr>
                <w:rFonts w:cs="宋体" w:asciiTheme="minorEastAsia" w:hAnsiTheme="minorEastAsia"/>
                <w:kern w:val="0"/>
                <w:sz w:val="24"/>
                <w:szCs w:val="24"/>
              </w:rPr>
            </w:pPr>
          </w:p>
        </w:tc>
      </w:tr>
      <w:tr w14:paraId="3B7146CF">
        <w:tblPrEx>
          <w:tblCellMar>
            <w:top w:w="0" w:type="dxa"/>
            <w:left w:w="0" w:type="dxa"/>
            <w:bottom w:w="0" w:type="dxa"/>
            <w:right w:w="0" w:type="dxa"/>
          </w:tblCellMar>
        </w:tblPrEx>
        <w:trPr>
          <w:jc w:val="center"/>
        </w:trPr>
        <w:tc>
          <w:tcPr>
            <w:tcW w:w="0" w:type="auto"/>
            <w:vMerge w:val="continue"/>
            <w:tcBorders>
              <w:top w:val="nil"/>
              <w:left w:val="single" w:color="000000" w:sz="8" w:space="0"/>
              <w:bottom w:val="single" w:color="000000" w:sz="8" w:space="0"/>
              <w:right w:val="single" w:color="000000" w:sz="8" w:space="0"/>
            </w:tcBorders>
            <w:vAlign w:val="center"/>
          </w:tcPr>
          <w:p w14:paraId="1455B7CC">
            <w:pPr>
              <w:jc w:val="left"/>
              <w:rPr>
                <w:rFonts w:cs="宋体" w:asciiTheme="minorEastAsia" w:hAnsiTheme="minorEastAsia"/>
                <w:kern w:val="0"/>
                <w:sz w:val="24"/>
                <w:szCs w:val="24"/>
              </w:rPr>
            </w:pPr>
          </w:p>
        </w:tc>
        <w:tc>
          <w:tcPr>
            <w:tcW w:w="5331"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2B7C7DEC">
            <w:pPr>
              <w:jc w:val="left"/>
              <w:rPr>
                <w:rFonts w:cs="宋体" w:asciiTheme="minorEastAsia" w:hAnsiTheme="minorEastAsia"/>
                <w:kern w:val="0"/>
                <w:sz w:val="24"/>
                <w:szCs w:val="24"/>
              </w:rPr>
            </w:pPr>
            <w:r>
              <w:rPr>
                <w:rFonts w:cs="宋体" w:asciiTheme="minorEastAsia" w:hAnsiTheme="minorEastAsia"/>
                <w:kern w:val="0"/>
                <w:sz w:val="24"/>
                <w:szCs w:val="24"/>
              </w:rPr>
              <w:t>是否落实促进残疾人就业政府采购政策要求</w:t>
            </w:r>
          </w:p>
        </w:tc>
        <w:tc>
          <w:tcPr>
            <w:tcW w:w="1900"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10138C30">
            <w:pPr>
              <w:widowControl/>
              <w:spacing w:line="560" w:lineRule="atLeast"/>
              <w:jc w:val="center"/>
              <w:rPr>
                <w:rFonts w:cs="宋体" w:asciiTheme="minorEastAsia" w:hAnsiTheme="minorEastAsia"/>
                <w:kern w:val="0"/>
                <w:sz w:val="24"/>
                <w:szCs w:val="24"/>
              </w:rPr>
            </w:pPr>
          </w:p>
        </w:tc>
      </w:tr>
      <w:tr w14:paraId="6455DC69">
        <w:tblPrEx>
          <w:tblCellMar>
            <w:top w:w="0" w:type="dxa"/>
            <w:left w:w="0" w:type="dxa"/>
            <w:bottom w:w="0" w:type="dxa"/>
            <w:right w:w="0" w:type="dxa"/>
          </w:tblCellMar>
        </w:tblPrEx>
        <w:trPr>
          <w:jc w:val="center"/>
        </w:trPr>
        <w:tc>
          <w:tcPr>
            <w:tcW w:w="2327" w:type="dxa"/>
            <w:vMerge w:val="restart"/>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14:paraId="5D8E4D1A">
            <w:pPr>
              <w:jc w:val="left"/>
              <w:rPr>
                <w:rFonts w:cs="宋体" w:asciiTheme="minorEastAsia" w:hAnsiTheme="minorEastAsia"/>
                <w:kern w:val="0"/>
                <w:sz w:val="24"/>
                <w:szCs w:val="24"/>
              </w:rPr>
            </w:pPr>
            <w:r>
              <w:rPr>
                <w:rFonts w:cs="宋体" w:asciiTheme="minorEastAsia" w:hAnsiTheme="minorEastAsia"/>
                <w:kern w:val="0"/>
                <w:sz w:val="24"/>
                <w:szCs w:val="24"/>
              </w:rPr>
              <w:t>（四）履约风险审查</w:t>
            </w:r>
          </w:p>
        </w:tc>
        <w:tc>
          <w:tcPr>
            <w:tcW w:w="5331" w:type="dxa"/>
            <w:tcBorders>
              <w:top w:val="nil"/>
              <w:left w:val="nil"/>
              <w:bottom w:val="single" w:color="auto" w:sz="8" w:space="0"/>
              <w:right w:val="single" w:color="000000" w:sz="8" w:space="0"/>
            </w:tcBorders>
            <w:tcMar>
              <w:top w:w="0" w:type="dxa"/>
              <w:left w:w="108" w:type="dxa"/>
              <w:bottom w:w="0" w:type="dxa"/>
              <w:right w:w="108" w:type="dxa"/>
            </w:tcMar>
            <w:vAlign w:val="center"/>
          </w:tcPr>
          <w:p w14:paraId="6A66648A">
            <w:pPr>
              <w:jc w:val="left"/>
              <w:rPr>
                <w:rFonts w:cs="宋体" w:asciiTheme="minorEastAsia" w:hAnsiTheme="minorEastAsia"/>
                <w:kern w:val="0"/>
                <w:sz w:val="24"/>
                <w:szCs w:val="24"/>
              </w:rPr>
            </w:pPr>
            <w:r>
              <w:rPr>
                <w:rFonts w:cs="宋体" w:asciiTheme="minorEastAsia" w:hAnsiTheme="minorEastAsia"/>
                <w:kern w:val="0"/>
                <w:sz w:val="24"/>
                <w:szCs w:val="24"/>
              </w:rPr>
              <w:t>合同文本是否按规定由法律顾问审定</w:t>
            </w:r>
          </w:p>
        </w:tc>
        <w:tc>
          <w:tcPr>
            <w:tcW w:w="1900" w:type="dxa"/>
            <w:tcBorders>
              <w:top w:val="nil"/>
              <w:left w:val="nil"/>
              <w:bottom w:val="single" w:color="auto" w:sz="8" w:space="0"/>
              <w:right w:val="single" w:color="000000" w:sz="8" w:space="0"/>
            </w:tcBorders>
            <w:tcMar>
              <w:top w:w="0" w:type="dxa"/>
              <w:left w:w="108" w:type="dxa"/>
              <w:bottom w:w="0" w:type="dxa"/>
              <w:right w:w="108" w:type="dxa"/>
            </w:tcMar>
            <w:vAlign w:val="center"/>
          </w:tcPr>
          <w:p w14:paraId="2195E81E">
            <w:pPr>
              <w:widowControl/>
              <w:spacing w:line="560" w:lineRule="atLeast"/>
              <w:jc w:val="center"/>
              <w:rPr>
                <w:rFonts w:cs="宋体" w:asciiTheme="minorEastAsia" w:hAnsiTheme="minorEastAsia"/>
                <w:kern w:val="0"/>
                <w:sz w:val="24"/>
                <w:szCs w:val="24"/>
              </w:rPr>
            </w:pPr>
          </w:p>
        </w:tc>
      </w:tr>
      <w:tr w14:paraId="341B529B">
        <w:tblPrEx>
          <w:tblCellMar>
            <w:top w:w="0" w:type="dxa"/>
            <w:left w:w="0" w:type="dxa"/>
            <w:bottom w:w="0" w:type="dxa"/>
            <w:right w:w="0" w:type="dxa"/>
          </w:tblCellMar>
        </w:tblPrEx>
        <w:trPr>
          <w:jc w:val="center"/>
        </w:trPr>
        <w:tc>
          <w:tcPr>
            <w:tcW w:w="0" w:type="auto"/>
            <w:vMerge w:val="continue"/>
            <w:tcBorders>
              <w:top w:val="nil"/>
              <w:left w:val="single" w:color="000000" w:sz="8" w:space="0"/>
              <w:bottom w:val="single" w:color="000000" w:sz="8" w:space="0"/>
              <w:right w:val="single" w:color="000000" w:sz="8" w:space="0"/>
            </w:tcBorders>
            <w:vAlign w:val="center"/>
          </w:tcPr>
          <w:p w14:paraId="2FCB487D">
            <w:pPr>
              <w:jc w:val="left"/>
              <w:rPr>
                <w:rFonts w:cs="宋体" w:asciiTheme="minorEastAsia" w:hAnsiTheme="minorEastAsia"/>
                <w:kern w:val="0"/>
                <w:sz w:val="24"/>
                <w:szCs w:val="24"/>
              </w:rPr>
            </w:pPr>
          </w:p>
        </w:tc>
        <w:tc>
          <w:tcPr>
            <w:tcW w:w="5331" w:type="dxa"/>
            <w:tcBorders>
              <w:top w:val="nil"/>
              <w:left w:val="nil"/>
              <w:bottom w:val="single" w:color="auto" w:sz="8" w:space="0"/>
              <w:right w:val="single" w:color="000000" w:sz="8" w:space="0"/>
            </w:tcBorders>
            <w:tcMar>
              <w:top w:w="0" w:type="dxa"/>
              <w:left w:w="108" w:type="dxa"/>
              <w:bottom w:w="0" w:type="dxa"/>
              <w:right w:w="108" w:type="dxa"/>
            </w:tcMar>
            <w:vAlign w:val="center"/>
          </w:tcPr>
          <w:p w14:paraId="262D0E8E">
            <w:pPr>
              <w:jc w:val="left"/>
              <w:rPr>
                <w:rFonts w:cs="宋体" w:asciiTheme="minorEastAsia" w:hAnsiTheme="minorEastAsia"/>
                <w:kern w:val="0"/>
                <w:sz w:val="24"/>
                <w:szCs w:val="24"/>
              </w:rPr>
            </w:pPr>
            <w:r>
              <w:rPr>
                <w:rFonts w:cs="宋体" w:asciiTheme="minorEastAsia" w:hAnsiTheme="minorEastAsia"/>
                <w:kern w:val="0"/>
                <w:sz w:val="24"/>
                <w:szCs w:val="24"/>
              </w:rPr>
              <w:t>合同文本运用是否适当</w:t>
            </w:r>
          </w:p>
        </w:tc>
        <w:tc>
          <w:tcPr>
            <w:tcW w:w="1900" w:type="dxa"/>
            <w:tcBorders>
              <w:top w:val="nil"/>
              <w:left w:val="nil"/>
              <w:bottom w:val="single" w:color="auto" w:sz="8" w:space="0"/>
              <w:right w:val="single" w:color="000000" w:sz="8" w:space="0"/>
            </w:tcBorders>
            <w:tcMar>
              <w:top w:w="0" w:type="dxa"/>
              <w:left w:w="108" w:type="dxa"/>
              <w:bottom w:w="0" w:type="dxa"/>
              <w:right w:w="108" w:type="dxa"/>
            </w:tcMar>
            <w:vAlign w:val="center"/>
          </w:tcPr>
          <w:p w14:paraId="71A02BC5">
            <w:pPr>
              <w:widowControl/>
              <w:spacing w:line="560" w:lineRule="atLeast"/>
              <w:jc w:val="center"/>
              <w:rPr>
                <w:rFonts w:cs="宋体" w:asciiTheme="minorEastAsia" w:hAnsiTheme="minorEastAsia"/>
                <w:kern w:val="0"/>
                <w:sz w:val="24"/>
                <w:szCs w:val="24"/>
              </w:rPr>
            </w:pPr>
          </w:p>
        </w:tc>
      </w:tr>
      <w:tr w14:paraId="1922993A">
        <w:tblPrEx>
          <w:tblCellMar>
            <w:top w:w="0" w:type="dxa"/>
            <w:left w:w="0" w:type="dxa"/>
            <w:bottom w:w="0" w:type="dxa"/>
            <w:right w:w="0" w:type="dxa"/>
          </w:tblCellMar>
        </w:tblPrEx>
        <w:trPr>
          <w:jc w:val="center"/>
        </w:trPr>
        <w:tc>
          <w:tcPr>
            <w:tcW w:w="0" w:type="auto"/>
            <w:vMerge w:val="continue"/>
            <w:tcBorders>
              <w:top w:val="nil"/>
              <w:left w:val="single" w:color="000000" w:sz="8" w:space="0"/>
              <w:bottom w:val="single" w:color="000000" w:sz="8" w:space="0"/>
              <w:right w:val="single" w:color="000000" w:sz="8" w:space="0"/>
            </w:tcBorders>
            <w:vAlign w:val="center"/>
          </w:tcPr>
          <w:p w14:paraId="55D5CB85">
            <w:pPr>
              <w:jc w:val="left"/>
              <w:rPr>
                <w:rFonts w:cs="宋体" w:asciiTheme="minorEastAsia" w:hAnsiTheme="minorEastAsia"/>
                <w:kern w:val="0"/>
                <w:sz w:val="24"/>
                <w:szCs w:val="24"/>
              </w:rPr>
            </w:pPr>
          </w:p>
        </w:tc>
        <w:tc>
          <w:tcPr>
            <w:tcW w:w="5331" w:type="dxa"/>
            <w:tcBorders>
              <w:top w:val="nil"/>
              <w:left w:val="nil"/>
              <w:bottom w:val="single" w:color="auto" w:sz="8" w:space="0"/>
              <w:right w:val="single" w:color="000000" w:sz="8" w:space="0"/>
            </w:tcBorders>
            <w:tcMar>
              <w:top w:w="0" w:type="dxa"/>
              <w:left w:w="108" w:type="dxa"/>
              <w:bottom w:w="0" w:type="dxa"/>
              <w:right w:w="108" w:type="dxa"/>
            </w:tcMar>
            <w:vAlign w:val="center"/>
          </w:tcPr>
          <w:p w14:paraId="58B16BE2">
            <w:pPr>
              <w:jc w:val="left"/>
              <w:rPr>
                <w:rFonts w:cs="宋体" w:asciiTheme="minorEastAsia" w:hAnsiTheme="minorEastAsia"/>
                <w:kern w:val="0"/>
                <w:sz w:val="24"/>
                <w:szCs w:val="24"/>
              </w:rPr>
            </w:pPr>
            <w:r>
              <w:rPr>
                <w:rFonts w:cs="宋体" w:asciiTheme="minorEastAsia" w:hAnsiTheme="minorEastAsia"/>
                <w:kern w:val="0"/>
                <w:sz w:val="24"/>
                <w:szCs w:val="24"/>
              </w:rPr>
              <w:t>是否围绕采购需求和合同履行设置权利义务</w:t>
            </w:r>
          </w:p>
        </w:tc>
        <w:tc>
          <w:tcPr>
            <w:tcW w:w="1900" w:type="dxa"/>
            <w:tcBorders>
              <w:top w:val="nil"/>
              <w:left w:val="nil"/>
              <w:bottom w:val="single" w:color="auto" w:sz="8" w:space="0"/>
              <w:right w:val="single" w:color="000000" w:sz="8" w:space="0"/>
            </w:tcBorders>
            <w:tcMar>
              <w:top w:w="0" w:type="dxa"/>
              <w:left w:w="108" w:type="dxa"/>
              <w:bottom w:w="0" w:type="dxa"/>
              <w:right w:w="108" w:type="dxa"/>
            </w:tcMar>
            <w:vAlign w:val="center"/>
          </w:tcPr>
          <w:p w14:paraId="6AAC7CAA">
            <w:pPr>
              <w:widowControl/>
              <w:spacing w:line="560" w:lineRule="atLeast"/>
              <w:jc w:val="center"/>
              <w:rPr>
                <w:rFonts w:cs="宋体" w:asciiTheme="minorEastAsia" w:hAnsiTheme="minorEastAsia"/>
                <w:kern w:val="0"/>
                <w:sz w:val="24"/>
                <w:szCs w:val="24"/>
              </w:rPr>
            </w:pPr>
          </w:p>
        </w:tc>
      </w:tr>
      <w:tr w14:paraId="21347A80">
        <w:tblPrEx>
          <w:tblCellMar>
            <w:top w:w="0" w:type="dxa"/>
            <w:left w:w="0" w:type="dxa"/>
            <w:bottom w:w="0" w:type="dxa"/>
            <w:right w:w="0" w:type="dxa"/>
          </w:tblCellMar>
        </w:tblPrEx>
        <w:trPr>
          <w:jc w:val="center"/>
        </w:trPr>
        <w:tc>
          <w:tcPr>
            <w:tcW w:w="0" w:type="auto"/>
            <w:vMerge w:val="continue"/>
            <w:tcBorders>
              <w:top w:val="nil"/>
              <w:left w:val="single" w:color="000000" w:sz="8" w:space="0"/>
              <w:bottom w:val="single" w:color="000000" w:sz="8" w:space="0"/>
              <w:right w:val="single" w:color="000000" w:sz="8" w:space="0"/>
            </w:tcBorders>
            <w:vAlign w:val="center"/>
          </w:tcPr>
          <w:p w14:paraId="4D734CF8">
            <w:pPr>
              <w:jc w:val="left"/>
              <w:rPr>
                <w:rFonts w:cs="宋体" w:asciiTheme="minorEastAsia" w:hAnsiTheme="minorEastAsia"/>
                <w:kern w:val="0"/>
                <w:sz w:val="24"/>
                <w:szCs w:val="24"/>
              </w:rPr>
            </w:pPr>
          </w:p>
        </w:tc>
        <w:tc>
          <w:tcPr>
            <w:tcW w:w="5331" w:type="dxa"/>
            <w:tcBorders>
              <w:top w:val="nil"/>
              <w:left w:val="nil"/>
              <w:bottom w:val="single" w:color="auto" w:sz="8" w:space="0"/>
              <w:right w:val="single" w:color="000000" w:sz="8" w:space="0"/>
            </w:tcBorders>
            <w:tcMar>
              <w:top w:w="0" w:type="dxa"/>
              <w:left w:w="108" w:type="dxa"/>
              <w:bottom w:w="0" w:type="dxa"/>
              <w:right w:w="108" w:type="dxa"/>
            </w:tcMar>
            <w:vAlign w:val="center"/>
          </w:tcPr>
          <w:p w14:paraId="5F1A0799">
            <w:pPr>
              <w:jc w:val="left"/>
              <w:rPr>
                <w:rFonts w:cs="宋体" w:asciiTheme="minorEastAsia" w:hAnsiTheme="minorEastAsia"/>
                <w:kern w:val="0"/>
                <w:sz w:val="24"/>
                <w:szCs w:val="24"/>
              </w:rPr>
            </w:pPr>
            <w:r>
              <w:rPr>
                <w:rFonts w:cs="宋体" w:asciiTheme="minorEastAsia" w:hAnsiTheme="minorEastAsia"/>
                <w:kern w:val="0"/>
                <w:sz w:val="24"/>
                <w:szCs w:val="24"/>
              </w:rPr>
              <w:t>是否明确知识产权等方面的要求</w:t>
            </w:r>
          </w:p>
        </w:tc>
        <w:tc>
          <w:tcPr>
            <w:tcW w:w="1900" w:type="dxa"/>
            <w:tcBorders>
              <w:top w:val="nil"/>
              <w:left w:val="nil"/>
              <w:bottom w:val="single" w:color="auto" w:sz="8" w:space="0"/>
              <w:right w:val="single" w:color="000000" w:sz="8" w:space="0"/>
            </w:tcBorders>
            <w:tcMar>
              <w:top w:w="0" w:type="dxa"/>
              <w:left w:w="108" w:type="dxa"/>
              <w:bottom w:w="0" w:type="dxa"/>
              <w:right w:w="108" w:type="dxa"/>
            </w:tcMar>
            <w:vAlign w:val="center"/>
          </w:tcPr>
          <w:p w14:paraId="6B270A50">
            <w:pPr>
              <w:widowControl/>
              <w:spacing w:line="560" w:lineRule="atLeast"/>
              <w:jc w:val="center"/>
              <w:rPr>
                <w:rFonts w:cs="宋体" w:asciiTheme="minorEastAsia" w:hAnsiTheme="minorEastAsia"/>
                <w:kern w:val="0"/>
                <w:sz w:val="24"/>
                <w:szCs w:val="24"/>
              </w:rPr>
            </w:pPr>
          </w:p>
        </w:tc>
      </w:tr>
      <w:tr w14:paraId="6300C109">
        <w:tblPrEx>
          <w:tblCellMar>
            <w:top w:w="0" w:type="dxa"/>
            <w:left w:w="0" w:type="dxa"/>
            <w:bottom w:w="0" w:type="dxa"/>
            <w:right w:w="0" w:type="dxa"/>
          </w:tblCellMar>
        </w:tblPrEx>
        <w:trPr>
          <w:jc w:val="center"/>
        </w:trPr>
        <w:tc>
          <w:tcPr>
            <w:tcW w:w="0" w:type="auto"/>
            <w:vMerge w:val="continue"/>
            <w:tcBorders>
              <w:top w:val="nil"/>
              <w:left w:val="single" w:color="000000" w:sz="8" w:space="0"/>
              <w:bottom w:val="single" w:color="000000" w:sz="8" w:space="0"/>
              <w:right w:val="single" w:color="000000" w:sz="8" w:space="0"/>
            </w:tcBorders>
            <w:vAlign w:val="center"/>
          </w:tcPr>
          <w:p w14:paraId="5A53B3AF">
            <w:pPr>
              <w:jc w:val="left"/>
              <w:rPr>
                <w:rFonts w:cs="宋体" w:asciiTheme="minorEastAsia" w:hAnsiTheme="minorEastAsia"/>
                <w:kern w:val="0"/>
                <w:sz w:val="24"/>
                <w:szCs w:val="24"/>
              </w:rPr>
            </w:pPr>
          </w:p>
        </w:tc>
        <w:tc>
          <w:tcPr>
            <w:tcW w:w="5331" w:type="dxa"/>
            <w:tcBorders>
              <w:top w:val="nil"/>
              <w:left w:val="nil"/>
              <w:bottom w:val="single" w:color="auto" w:sz="8" w:space="0"/>
              <w:right w:val="single" w:color="000000" w:sz="8" w:space="0"/>
            </w:tcBorders>
            <w:tcMar>
              <w:top w:w="0" w:type="dxa"/>
              <w:left w:w="108" w:type="dxa"/>
              <w:bottom w:w="0" w:type="dxa"/>
              <w:right w:w="108" w:type="dxa"/>
            </w:tcMar>
            <w:vAlign w:val="center"/>
          </w:tcPr>
          <w:p w14:paraId="0BB93CB4">
            <w:pPr>
              <w:jc w:val="left"/>
              <w:rPr>
                <w:rFonts w:cs="宋体" w:asciiTheme="minorEastAsia" w:hAnsiTheme="minorEastAsia"/>
                <w:kern w:val="0"/>
                <w:sz w:val="24"/>
                <w:szCs w:val="24"/>
              </w:rPr>
            </w:pPr>
            <w:r>
              <w:rPr>
                <w:rFonts w:cs="宋体" w:asciiTheme="minorEastAsia" w:hAnsiTheme="minorEastAsia"/>
                <w:kern w:val="0"/>
                <w:sz w:val="24"/>
                <w:szCs w:val="24"/>
              </w:rPr>
              <w:t>履约验收方案是否完整、标准是否明确</w:t>
            </w:r>
          </w:p>
        </w:tc>
        <w:tc>
          <w:tcPr>
            <w:tcW w:w="1900" w:type="dxa"/>
            <w:tcBorders>
              <w:top w:val="nil"/>
              <w:left w:val="nil"/>
              <w:bottom w:val="single" w:color="auto" w:sz="8" w:space="0"/>
              <w:right w:val="single" w:color="000000" w:sz="8" w:space="0"/>
            </w:tcBorders>
            <w:tcMar>
              <w:top w:w="0" w:type="dxa"/>
              <w:left w:w="108" w:type="dxa"/>
              <w:bottom w:w="0" w:type="dxa"/>
              <w:right w:w="108" w:type="dxa"/>
            </w:tcMar>
            <w:vAlign w:val="center"/>
          </w:tcPr>
          <w:p w14:paraId="2BCFAFD6">
            <w:pPr>
              <w:widowControl/>
              <w:spacing w:line="560" w:lineRule="atLeast"/>
              <w:jc w:val="center"/>
              <w:rPr>
                <w:rFonts w:cs="宋体" w:asciiTheme="minorEastAsia" w:hAnsiTheme="minorEastAsia"/>
                <w:kern w:val="0"/>
                <w:sz w:val="24"/>
                <w:szCs w:val="24"/>
              </w:rPr>
            </w:pPr>
          </w:p>
        </w:tc>
      </w:tr>
      <w:tr w14:paraId="7C9A73B5">
        <w:tblPrEx>
          <w:tblCellMar>
            <w:top w:w="0" w:type="dxa"/>
            <w:left w:w="0" w:type="dxa"/>
            <w:bottom w:w="0" w:type="dxa"/>
            <w:right w:w="0" w:type="dxa"/>
          </w:tblCellMar>
        </w:tblPrEx>
        <w:trPr>
          <w:jc w:val="center"/>
        </w:trPr>
        <w:tc>
          <w:tcPr>
            <w:tcW w:w="0" w:type="auto"/>
            <w:vMerge w:val="continue"/>
            <w:tcBorders>
              <w:top w:val="nil"/>
              <w:left w:val="single" w:color="000000" w:sz="8" w:space="0"/>
              <w:bottom w:val="single" w:color="000000" w:sz="8" w:space="0"/>
              <w:right w:val="single" w:color="000000" w:sz="8" w:space="0"/>
            </w:tcBorders>
            <w:vAlign w:val="center"/>
          </w:tcPr>
          <w:p w14:paraId="768D0840">
            <w:pPr>
              <w:jc w:val="left"/>
              <w:rPr>
                <w:rFonts w:cs="宋体" w:asciiTheme="minorEastAsia" w:hAnsiTheme="minorEastAsia"/>
                <w:kern w:val="0"/>
                <w:sz w:val="24"/>
                <w:szCs w:val="24"/>
              </w:rPr>
            </w:pPr>
          </w:p>
        </w:tc>
        <w:tc>
          <w:tcPr>
            <w:tcW w:w="5331"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6135C3AB">
            <w:pPr>
              <w:jc w:val="left"/>
              <w:rPr>
                <w:rFonts w:cs="宋体" w:asciiTheme="minorEastAsia" w:hAnsiTheme="minorEastAsia"/>
                <w:kern w:val="0"/>
                <w:sz w:val="24"/>
                <w:szCs w:val="24"/>
              </w:rPr>
            </w:pPr>
            <w:r>
              <w:rPr>
                <w:rFonts w:cs="宋体" w:asciiTheme="minorEastAsia" w:hAnsiTheme="minorEastAsia"/>
                <w:kern w:val="0"/>
                <w:sz w:val="24"/>
                <w:szCs w:val="24"/>
              </w:rPr>
              <w:t>风险处置措施和替代方案是否可行</w:t>
            </w:r>
          </w:p>
        </w:tc>
        <w:tc>
          <w:tcPr>
            <w:tcW w:w="1900"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5A541C79">
            <w:pPr>
              <w:widowControl/>
              <w:spacing w:line="560" w:lineRule="atLeast"/>
              <w:jc w:val="center"/>
              <w:rPr>
                <w:rFonts w:cs="宋体" w:asciiTheme="minorEastAsia" w:hAnsiTheme="minorEastAsia"/>
                <w:kern w:val="0"/>
                <w:sz w:val="24"/>
                <w:szCs w:val="24"/>
              </w:rPr>
            </w:pPr>
          </w:p>
        </w:tc>
      </w:tr>
      <w:tr w14:paraId="3549C97D">
        <w:tblPrEx>
          <w:tblCellMar>
            <w:top w:w="0" w:type="dxa"/>
            <w:left w:w="0" w:type="dxa"/>
            <w:bottom w:w="0" w:type="dxa"/>
            <w:right w:w="0" w:type="dxa"/>
          </w:tblCellMar>
        </w:tblPrEx>
        <w:trPr>
          <w:jc w:val="center"/>
        </w:trPr>
        <w:tc>
          <w:tcPr>
            <w:tcW w:w="2327"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14:paraId="46B14B90">
            <w:pPr>
              <w:jc w:val="left"/>
              <w:rPr>
                <w:rFonts w:cs="宋体" w:asciiTheme="minorEastAsia" w:hAnsiTheme="minorEastAsia"/>
                <w:kern w:val="0"/>
                <w:sz w:val="24"/>
                <w:szCs w:val="24"/>
              </w:rPr>
            </w:pPr>
            <w:r>
              <w:rPr>
                <w:rFonts w:cs="宋体" w:asciiTheme="minorEastAsia" w:hAnsiTheme="minorEastAsia"/>
                <w:kern w:val="0"/>
                <w:sz w:val="24"/>
                <w:szCs w:val="24"/>
              </w:rPr>
              <w:t>（五）采购人或者主管预算单位认为应当审查的其他内容</w:t>
            </w:r>
          </w:p>
        </w:tc>
        <w:tc>
          <w:tcPr>
            <w:tcW w:w="5331"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023C8D26">
            <w:pPr>
              <w:jc w:val="left"/>
              <w:rPr>
                <w:rFonts w:cs="宋体" w:asciiTheme="minorEastAsia" w:hAnsiTheme="minorEastAsia"/>
                <w:kern w:val="0"/>
                <w:sz w:val="24"/>
                <w:szCs w:val="24"/>
              </w:rPr>
            </w:pPr>
            <w:r>
              <w:rPr>
                <w:rFonts w:cs="宋体" w:asciiTheme="minorEastAsia" w:hAnsiTheme="minorEastAsia"/>
                <w:i/>
                <w:iCs/>
                <w:kern w:val="0"/>
                <w:sz w:val="24"/>
                <w:szCs w:val="24"/>
                <w:u w:val="single"/>
              </w:rPr>
              <w:t>应列明审查的具体内容。</w:t>
            </w:r>
          </w:p>
        </w:tc>
        <w:tc>
          <w:tcPr>
            <w:tcW w:w="1900"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2AA78D9F">
            <w:pPr>
              <w:widowControl/>
              <w:spacing w:line="560" w:lineRule="atLeast"/>
              <w:jc w:val="center"/>
              <w:rPr>
                <w:rFonts w:cs="宋体" w:asciiTheme="minorEastAsia" w:hAnsiTheme="minorEastAsia"/>
                <w:kern w:val="0"/>
                <w:sz w:val="24"/>
                <w:szCs w:val="24"/>
              </w:rPr>
            </w:pPr>
          </w:p>
        </w:tc>
      </w:tr>
      <w:tr w14:paraId="5A333175">
        <w:tblPrEx>
          <w:tblCellMar>
            <w:top w:w="0" w:type="dxa"/>
            <w:left w:w="0" w:type="dxa"/>
            <w:bottom w:w="0" w:type="dxa"/>
            <w:right w:w="0" w:type="dxa"/>
          </w:tblCellMar>
        </w:tblPrEx>
        <w:trPr>
          <w:jc w:val="center"/>
        </w:trPr>
        <w:tc>
          <w:tcPr>
            <w:tcW w:w="7658" w:type="dxa"/>
            <w:gridSpan w:val="2"/>
            <w:tcBorders>
              <w:top w:val="nil"/>
              <w:left w:val="single" w:color="000000" w:sz="8" w:space="0"/>
              <w:bottom w:val="single" w:color="000000" w:sz="8" w:space="0"/>
              <w:right w:val="single" w:color="000000" w:sz="8" w:space="0"/>
            </w:tcBorders>
            <w:tcMar>
              <w:top w:w="0" w:type="dxa"/>
              <w:left w:w="108" w:type="dxa"/>
              <w:bottom w:w="0" w:type="dxa"/>
              <w:right w:w="108" w:type="dxa"/>
            </w:tcMar>
          </w:tcPr>
          <w:p w14:paraId="26375BFE">
            <w:pPr>
              <w:jc w:val="center"/>
              <w:rPr>
                <w:rFonts w:cs="宋体" w:asciiTheme="minorEastAsia" w:hAnsiTheme="minorEastAsia"/>
                <w:kern w:val="0"/>
                <w:sz w:val="24"/>
                <w:szCs w:val="24"/>
              </w:rPr>
            </w:pPr>
            <w:r>
              <w:rPr>
                <w:rFonts w:ascii="宋体" w:hAnsi="宋体" w:eastAsia="宋体"/>
                <w:b/>
                <w:sz w:val="24"/>
                <w:szCs w:val="24"/>
              </w:rPr>
              <w:t>审查结论</w:t>
            </w:r>
          </w:p>
        </w:tc>
        <w:tc>
          <w:tcPr>
            <w:tcW w:w="1900"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546F85E2">
            <w:pPr>
              <w:jc w:val="center"/>
              <w:rPr>
                <w:rFonts w:cs="宋体" w:asciiTheme="minorEastAsia" w:hAnsiTheme="minorEastAsia"/>
                <w:kern w:val="0"/>
                <w:sz w:val="24"/>
                <w:szCs w:val="24"/>
              </w:rPr>
            </w:pPr>
            <w:r>
              <w:rPr>
                <w:rFonts w:cs="宋体" w:asciiTheme="minorEastAsia" w:hAnsiTheme="minorEastAsia"/>
                <w:kern w:val="0"/>
                <w:sz w:val="24"/>
                <w:szCs w:val="24"/>
              </w:rPr>
              <w:t>通过/不通过</w:t>
            </w:r>
          </w:p>
        </w:tc>
      </w:tr>
      <w:tr w14:paraId="21E8D72C">
        <w:tblPrEx>
          <w:tblCellMar>
            <w:top w:w="0" w:type="dxa"/>
            <w:left w:w="0" w:type="dxa"/>
            <w:bottom w:w="0" w:type="dxa"/>
            <w:right w:w="0" w:type="dxa"/>
          </w:tblCellMar>
        </w:tblPrEx>
        <w:trPr>
          <w:jc w:val="center"/>
        </w:trPr>
        <w:tc>
          <w:tcPr>
            <w:tcW w:w="9558" w:type="dxa"/>
            <w:gridSpan w:val="3"/>
            <w:tcBorders>
              <w:top w:val="nil"/>
              <w:left w:val="single" w:color="000000" w:sz="8" w:space="0"/>
              <w:bottom w:val="single" w:color="000000" w:sz="8" w:space="0"/>
              <w:right w:val="single" w:color="000000" w:sz="8" w:space="0"/>
            </w:tcBorders>
            <w:tcMar>
              <w:top w:w="0" w:type="dxa"/>
              <w:left w:w="108" w:type="dxa"/>
              <w:bottom w:w="0" w:type="dxa"/>
              <w:right w:w="108" w:type="dxa"/>
            </w:tcMar>
          </w:tcPr>
          <w:p w14:paraId="58322D79">
            <w:pPr>
              <w:jc w:val="left"/>
              <w:rPr>
                <w:rFonts w:cs="宋体" w:asciiTheme="minorEastAsia" w:hAnsiTheme="minorEastAsia"/>
                <w:kern w:val="0"/>
                <w:sz w:val="24"/>
                <w:szCs w:val="24"/>
              </w:rPr>
            </w:pPr>
            <w:r>
              <w:rPr>
                <w:rFonts w:cs="宋体" w:asciiTheme="minorEastAsia" w:hAnsiTheme="minorEastAsia"/>
                <w:kern w:val="0"/>
                <w:sz w:val="24"/>
                <w:szCs w:val="24"/>
              </w:rPr>
              <w:t>审查意见：</w:t>
            </w:r>
          </w:p>
          <w:p w14:paraId="710F6D02">
            <w:pPr>
              <w:ind w:firstLine="480" w:firstLineChars="200"/>
              <w:jc w:val="left"/>
              <w:rPr>
                <w:rFonts w:cs="宋体" w:asciiTheme="minorEastAsia" w:hAnsiTheme="minorEastAsia"/>
                <w:kern w:val="0"/>
                <w:sz w:val="24"/>
                <w:szCs w:val="24"/>
              </w:rPr>
            </w:pPr>
            <w:r>
              <w:rPr>
                <w:rFonts w:cs="宋体" w:asciiTheme="minorEastAsia" w:hAnsiTheme="minorEastAsia"/>
                <w:i/>
                <w:iCs/>
                <w:kern w:val="0"/>
                <w:sz w:val="24"/>
                <w:szCs w:val="24"/>
                <w:u w:val="single"/>
              </w:rPr>
              <w:t>示例：经审查，采购需求、采购实施计划符合相关规定，审查通过。</w:t>
            </w:r>
          </w:p>
          <w:p w14:paraId="1AF78772">
            <w:pPr>
              <w:ind w:firstLine="480" w:firstLineChars="200"/>
              <w:jc w:val="left"/>
              <w:rPr>
                <w:rFonts w:cs="宋体" w:asciiTheme="minorEastAsia" w:hAnsiTheme="minorEastAsia"/>
                <w:kern w:val="0"/>
                <w:sz w:val="24"/>
                <w:szCs w:val="24"/>
              </w:rPr>
            </w:pPr>
            <w:r>
              <w:rPr>
                <w:rFonts w:cs="宋体" w:asciiTheme="minorEastAsia" w:hAnsiTheme="minorEastAsia"/>
                <w:i/>
                <w:iCs/>
                <w:kern w:val="0"/>
                <w:sz w:val="24"/>
                <w:szCs w:val="24"/>
                <w:u w:val="single"/>
              </w:rPr>
              <w:t>示例：经审查，采购实施计划未落实中小企业发展政府采购政策要求，审查不通过，根据相关规定修改后，再重新进行审查。</w:t>
            </w:r>
          </w:p>
        </w:tc>
      </w:tr>
    </w:tbl>
    <w:p w14:paraId="410097E9">
      <w:pPr>
        <w:widowControl/>
        <w:ind w:firstLine="480" w:firstLineChars="200"/>
        <w:jc w:val="left"/>
        <w:rPr>
          <w:rFonts w:cs="宋体" w:asciiTheme="minorEastAsia" w:hAnsiTheme="minorEastAsia"/>
          <w:color w:val="000000"/>
          <w:kern w:val="0"/>
          <w:sz w:val="24"/>
          <w:szCs w:val="24"/>
        </w:rPr>
      </w:pPr>
      <w:r>
        <w:rPr>
          <w:rFonts w:hint="eastAsia" w:cs="宋体" w:asciiTheme="minorEastAsia" w:hAnsiTheme="minorEastAsia"/>
          <w:i/>
          <w:iCs/>
          <w:color w:val="000000"/>
          <w:kern w:val="0"/>
          <w:sz w:val="24"/>
          <w:szCs w:val="24"/>
          <w:u w:val="single"/>
        </w:rPr>
        <w:t>审查结果为“通过”或“不通过”，审查结果“不通过”的，还需说明具体原因。</w:t>
      </w:r>
    </w:p>
    <w:p w14:paraId="0229C10F">
      <w:pPr>
        <w:widowControl/>
        <w:ind w:firstLine="480" w:firstLineChars="200"/>
        <w:jc w:val="left"/>
        <w:rPr>
          <w:rFonts w:cs="宋体" w:asciiTheme="minorEastAsia" w:hAnsiTheme="minorEastAsia"/>
          <w:color w:val="000000"/>
          <w:kern w:val="0"/>
          <w:sz w:val="24"/>
          <w:szCs w:val="24"/>
        </w:rPr>
      </w:pPr>
      <w:r>
        <w:rPr>
          <w:rFonts w:hint="eastAsia" w:cs="宋体" w:asciiTheme="minorEastAsia" w:hAnsiTheme="minorEastAsia"/>
          <w:i/>
          <w:iCs/>
          <w:color w:val="000000"/>
          <w:kern w:val="0"/>
          <w:sz w:val="24"/>
          <w:szCs w:val="24"/>
          <w:u w:val="single"/>
        </w:rPr>
        <w:t>审查结果全部为“通过”的，则审查结论为“通过”。审查结果有一项为“不通过”的，则审查结论为“不通过”。</w:t>
      </w:r>
    </w:p>
    <w:p w14:paraId="537D944F">
      <w:pPr>
        <w:widowControl/>
        <w:ind w:firstLine="480" w:firstLineChars="200"/>
        <w:jc w:val="left"/>
        <w:rPr>
          <w:rFonts w:cs="宋体" w:asciiTheme="minorEastAsia" w:hAnsiTheme="minorEastAsia"/>
          <w:i/>
          <w:iCs/>
          <w:color w:val="000000"/>
          <w:kern w:val="0"/>
          <w:sz w:val="24"/>
          <w:szCs w:val="24"/>
        </w:rPr>
      </w:pPr>
    </w:p>
    <w:p w14:paraId="544CAF2C">
      <w:pPr>
        <w:widowControl/>
        <w:ind w:firstLine="480" w:firstLineChars="20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审查人员（签字）：</w:t>
      </w:r>
    </w:p>
    <w:p w14:paraId="364AD54C">
      <w:pPr>
        <w:rPr>
          <w:rFonts w:ascii="仿宋" w:hAnsi="仿宋" w:eastAsia="仿宋"/>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D420C9"/>
    <w:multiLevelType w:val="multilevel"/>
    <w:tmpl w:val="80D420C9"/>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8B6E6EE7"/>
    <w:multiLevelType w:val="multilevel"/>
    <w:tmpl w:val="8B6E6EE7"/>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98A78BD0"/>
    <w:multiLevelType w:val="multilevel"/>
    <w:tmpl w:val="98A78BD0"/>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9FF221D9"/>
    <w:multiLevelType w:val="multilevel"/>
    <w:tmpl w:val="9FF221D9"/>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B555CDBC"/>
    <w:multiLevelType w:val="singleLevel"/>
    <w:tmpl w:val="B555CDBC"/>
    <w:lvl w:ilvl="0" w:tentative="0">
      <w:start w:val="1"/>
      <w:numFmt w:val="decimal"/>
      <w:suff w:val="nothing"/>
      <w:lvlText w:val="%1、"/>
      <w:lvlJc w:val="left"/>
    </w:lvl>
  </w:abstractNum>
  <w:abstractNum w:abstractNumId="5">
    <w:nsid w:val="C4EF8F72"/>
    <w:multiLevelType w:val="multilevel"/>
    <w:tmpl w:val="C4EF8F72"/>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
    <w:nsid w:val="DBC9CB7B"/>
    <w:multiLevelType w:val="multilevel"/>
    <w:tmpl w:val="DBC9CB7B"/>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
    <w:nsid w:val="E3C3C78F"/>
    <w:multiLevelType w:val="multilevel"/>
    <w:tmpl w:val="E3C3C78F"/>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EDF5A210"/>
    <w:multiLevelType w:val="multilevel"/>
    <w:tmpl w:val="EDF5A210"/>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
    <w:nsid w:val="F1D8BAFE"/>
    <w:multiLevelType w:val="multilevel"/>
    <w:tmpl w:val="F1D8BAFE"/>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
    <w:nsid w:val="17F36B19"/>
    <w:multiLevelType w:val="multilevel"/>
    <w:tmpl w:val="17F36B19"/>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
    <w:nsid w:val="6D1F068E"/>
    <w:multiLevelType w:val="multilevel"/>
    <w:tmpl w:val="6D1F068E"/>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4"/>
  </w:num>
  <w:num w:numId="2">
    <w:abstractNumId w:val="11"/>
  </w:num>
  <w:num w:numId="3">
    <w:abstractNumId w:val="8"/>
  </w:num>
  <w:num w:numId="4">
    <w:abstractNumId w:val="9"/>
  </w:num>
  <w:num w:numId="5">
    <w:abstractNumId w:val="2"/>
  </w:num>
  <w:num w:numId="6">
    <w:abstractNumId w:val="1"/>
  </w:num>
  <w:num w:numId="7">
    <w:abstractNumId w:val="5"/>
  </w:num>
  <w:num w:numId="8">
    <w:abstractNumId w:val="0"/>
  </w:num>
  <w:num w:numId="9">
    <w:abstractNumId w:val="3"/>
  </w:num>
  <w:num w:numId="10">
    <w:abstractNumId w:val="6"/>
  </w:num>
  <w:num w:numId="11">
    <w:abstractNumId w:val="7"/>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M0ZTkzNmEyMTdkMjI0YTM3MTYyMmFkNWQ4OGE4MDQifQ=="/>
  </w:docVars>
  <w:rsids>
    <w:rsidRoot w:val="009B3EC1"/>
    <w:rsid w:val="000C469E"/>
    <w:rsid w:val="00143BF9"/>
    <w:rsid w:val="00240436"/>
    <w:rsid w:val="00343CA9"/>
    <w:rsid w:val="003F75B9"/>
    <w:rsid w:val="00456BA1"/>
    <w:rsid w:val="004739F6"/>
    <w:rsid w:val="004C7D54"/>
    <w:rsid w:val="00576042"/>
    <w:rsid w:val="007C5688"/>
    <w:rsid w:val="008330A7"/>
    <w:rsid w:val="008E4925"/>
    <w:rsid w:val="00941A41"/>
    <w:rsid w:val="009B3EC1"/>
    <w:rsid w:val="009E44CC"/>
    <w:rsid w:val="00AA0B0B"/>
    <w:rsid w:val="00AC5D42"/>
    <w:rsid w:val="00AE4E5E"/>
    <w:rsid w:val="00AE57A1"/>
    <w:rsid w:val="00C1424A"/>
    <w:rsid w:val="00CC660A"/>
    <w:rsid w:val="00D04B0D"/>
    <w:rsid w:val="00D26F50"/>
    <w:rsid w:val="00E16886"/>
    <w:rsid w:val="04C44C50"/>
    <w:rsid w:val="05492FB6"/>
    <w:rsid w:val="0C0C3DB7"/>
    <w:rsid w:val="0CDF3626"/>
    <w:rsid w:val="0E6B6937"/>
    <w:rsid w:val="133F5002"/>
    <w:rsid w:val="14960551"/>
    <w:rsid w:val="19394701"/>
    <w:rsid w:val="1D9756AA"/>
    <w:rsid w:val="1DB418AE"/>
    <w:rsid w:val="1EBA2EF4"/>
    <w:rsid w:val="1EEB7551"/>
    <w:rsid w:val="21B014DF"/>
    <w:rsid w:val="22C94231"/>
    <w:rsid w:val="23955CDE"/>
    <w:rsid w:val="23BE6706"/>
    <w:rsid w:val="24550319"/>
    <w:rsid w:val="248D0765"/>
    <w:rsid w:val="2EF35FAE"/>
    <w:rsid w:val="30DF4A3C"/>
    <w:rsid w:val="3102072B"/>
    <w:rsid w:val="346F4AFE"/>
    <w:rsid w:val="36D05553"/>
    <w:rsid w:val="37C54FC8"/>
    <w:rsid w:val="38411171"/>
    <w:rsid w:val="3AE73BB6"/>
    <w:rsid w:val="3BC84F1B"/>
    <w:rsid w:val="3BD436B5"/>
    <w:rsid w:val="3BDB4052"/>
    <w:rsid w:val="3D0773AA"/>
    <w:rsid w:val="439E25F5"/>
    <w:rsid w:val="43E066A9"/>
    <w:rsid w:val="46A04AA9"/>
    <w:rsid w:val="4A9350F6"/>
    <w:rsid w:val="4CAF7561"/>
    <w:rsid w:val="4D04165B"/>
    <w:rsid w:val="4EF96CDC"/>
    <w:rsid w:val="5020726D"/>
    <w:rsid w:val="50C335DB"/>
    <w:rsid w:val="51A74CAA"/>
    <w:rsid w:val="53065A01"/>
    <w:rsid w:val="53426A39"/>
    <w:rsid w:val="55F14746"/>
    <w:rsid w:val="5B03543D"/>
    <w:rsid w:val="5C724206"/>
    <w:rsid w:val="61F279A3"/>
    <w:rsid w:val="64FB113D"/>
    <w:rsid w:val="65532D27"/>
    <w:rsid w:val="66014531"/>
    <w:rsid w:val="66A17AC3"/>
    <w:rsid w:val="671648CE"/>
    <w:rsid w:val="674D28F0"/>
    <w:rsid w:val="69A46AE6"/>
    <w:rsid w:val="6E09452F"/>
    <w:rsid w:val="6E2D2CC0"/>
    <w:rsid w:val="6E4C0151"/>
    <w:rsid w:val="6F3A3E03"/>
    <w:rsid w:val="725105EF"/>
    <w:rsid w:val="73C41589"/>
    <w:rsid w:val="74E6422F"/>
    <w:rsid w:val="7C010E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qFormat/>
    <w:uiPriority w:val="0"/>
    <w:pPr>
      <w:keepNext/>
      <w:outlineLvl w:val="2"/>
    </w:pPr>
    <w:rPr>
      <w:rFonts w:ascii="楷体_GB2312" w:hAnsi="宋体" w:eastAsia="黑体"/>
      <w:b/>
      <w:bCs/>
      <w:sz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ody Text"/>
    <w:basedOn w:val="1"/>
    <w:qFormat/>
    <w:uiPriority w:val="0"/>
    <w:pPr>
      <w:spacing w:after="120" w:afterLines="0"/>
    </w:pPr>
  </w:style>
  <w:style w:type="paragraph" w:styleId="5">
    <w:name w:val="footer"/>
    <w:basedOn w:val="1"/>
    <w:link w:val="11"/>
    <w:semiHidden/>
    <w:unhideWhenUsed/>
    <w:qFormat/>
    <w:uiPriority w:val="99"/>
    <w:pPr>
      <w:tabs>
        <w:tab w:val="center" w:pos="4153"/>
        <w:tab w:val="right" w:pos="8306"/>
      </w:tabs>
      <w:snapToGrid w:val="0"/>
      <w:jc w:val="left"/>
    </w:pPr>
    <w:rPr>
      <w:sz w:val="18"/>
      <w:szCs w:val="18"/>
    </w:rPr>
  </w:style>
  <w:style w:type="paragraph" w:styleId="6">
    <w:name w:val="header"/>
    <w:basedOn w:val="1"/>
    <w:link w:val="10"/>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9">
    <w:name w:val="annotation reference"/>
    <w:basedOn w:val="8"/>
    <w:semiHidden/>
    <w:unhideWhenUsed/>
    <w:qFormat/>
    <w:uiPriority w:val="99"/>
    <w:rPr>
      <w:sz w:val="21"/>
      <w:szCs w:val="21"/>
    </w:rPr>
  </w:style>
  <w:style w:type="character" w:customStyle="1" w:styleId="10">
    <w:name w:val="页眉 Char"/>
    <w:basedOn w:val="8"/>
    <w:link w:val="6"/>
    <w:semiHidden/>
    <w:qFormat/>
    <w:uiPriority w:val="99"/>
    <w:rPr>
      <w:sz w:val="18"/>
      <w:szCs w:val="18"/>
    </w:rPr>
  </w:style>
  <w:style w:type="character" w:customStyle="1" w:styleId="11">
    <w:name w:val="页脚 Char"/>
    <w:basedOn w:val="8"/>
    <w:link w:val="5"/>
    <w:semiHidden/>
    <w:qFormat/>
    <w:uiPriority w:val="99"/>
    <w:rPr>
      <w:sz w:val="18"/>
      <w:szCs w:val="18"/>
    </w:rPr>
  </w:style>
  <w:style w:type="paragraph" w:customStyle="1" w:styleId="12">
    <w:name w:val="null3"/>
    <w:unhideWhenUsed/>
    <w:qFormat/>
    <w:uiPriority w:val="0"/>
    <w:rPr>
      <w:rFonts w:hint="default" w:ascii="宋体" w:hAnsi="Calibri" w:eastAsia="宋体" w:cs="Times New Roman"/>
      <w:sz w:val="24"/>
      <w:szCs w:val="24"/>
      <w:lang w:val="en-US" w:eastAsia="zh-Hans" w:bidi="ar-SA"/>
    </w:rPr>
  </w:style>
  <w:style w:type="paragraph" w:styleId="13">
    <w:name w:val="List Paragraph"/>
    <w:basedOn w:val="1"/>
    <w:qFormat/>
    <w:uiPriority w:val="34"/>
    <w:pPr>
      <w:ind w:left="720"/>
      <w:contextualSpacing/>
    </w:pPr>
  </w:style>
  <w:style w:type="character" w:customStyle="1" w:styleId="14">
    <w:name w:val="font11"/>
    <w:basedOn w:val="8"/>
    <w:qFormat/>
    <w:uiPriority w:val="0"/>
    <w:rPr>
      <w:rFonts w:hint="eastAsia" w:ascii="宋体" w:hAnsi="宋体" w:eastAsia="宋体" w:cs="宋体"/>
      <w:color w:val="000000"/>
      <w:sz w:val="24"/>
      <w:szCs w:val="24"/>
      <w:u w:val="none"/>
    </w:rPr>
  </w:style>
  <w:style w:type="character" w:customStyle="1" w:styleId="15">
    <w:name w:val="font51"/>
    <w:basedOn w:val="8"/>
    <w:qFormat/>
    <w:uiPriority w:val="0"/>
    <w:rPr>
      <w:rFonts w:hint="eastAsia" w:ascii="宋体" w:hAnsi="宋体" w:eastAsia="宋体" w:cs="宋体"/>
      <w:color w:val="000000"/>
      <w:sz w:val="24"/>
      <w:szCs w:val="24"/>
      <w:u w:val="none"/>
    </w:rPr>
  </w:style>
  <w:style w:type="character" w:customStyle="1" w:styleId="16">
    <w:name w:val="font91"/>
    <w:basedOn w:val="8"/>
    <w:qFormat/>
    <w:uiPriority w:val="0"/>
    <w:rPr>
      <w:rFonts w:hint="eastAsia" w:ascii="宋体" w:hAnsi="宋体" w:eastAsia="宋体" w:cs="宋体"/>
      <w:color w:val="000000"/>
      <w:sz w:val="24"/>
      <w:szCs w:val="24"/>
      <w:u w:val="none"/>
    </w:rPr>
  </w:style>
  <w:style w:type="character" w:customStyle="1" w:styleId="17">
    <w:name w:val="font81"/>
    <w:basedOn w:val="8"/>
    <w:qFormat/>
    <w:uiPriority w:val="0"/>
    <w:rPr>
      <w:rFonts w:hint="eastAsia" w:ascii="宋体" w:hAnsi="宋体" w:eastAsia="宋体" w:cs="宋体"/>
      <w:color w:val="000000"/>
      <w:sz w:val="24"/>
      <w:szCs w:val="24"/>
      <w:u w:val="none"/>
    </w:rPr>
  </w:style>
  <w:style w:type="character" w:customStyle="1" w:styleId="18">
    <w:name w:val="font31"/>
    <w:basedOn w:val="8"/>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daohangxitong.com</Company>
  <Pages>67</Pages>
  <Words>2301</Words>
  <Characters>2710</Characters>
  <Lines>69</Lines>
  <Paragraphs>19</Paragraphs>
  <TotalTime>2</TotalTime>
  <ScaleCrop>false</ScaleCrop>
  <LinksUpToDate>false</LinksUpToDate>
  <CharactersWithSpaces>2736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2021-08-04T11:00:00Z</dcterms:created>
  <dc:creator>daohangxitong.com</dc:creator>
  <cp:lastModifiedBy>古诗</cp:lastModifiedBy>
  <dcterms:modified xsi:type="dcterms:W3CDTF">2026-03-12T09:07:31Z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D8F982613E9745DD98BBB9798CDC9D62_13</vt:lpwstr>
  </property>
  <property fmtid="{D5CDD505-2E9C-101B-9397-08002B2CF9AE}" pid="4" name="KSOTemplateDocerSaveRecord">
    <vt:lpwstr>eyJoZGlkIjoiOTIxZTVhOGJmMzNiYjAxODc0ZGVlOGUyMjdmYzdjMTQiLCJ1c2VySWQiOiI0NTMxMzU2NTYifQ==</vt:lpwstr>
  </property>
</Properties>
</file>